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9E" w:rsidRPr="0056457D" w:rsidRDefault="0068299E" w:rsidP="006829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>Итоги анонимного анкетирования за 201</w:t>
      </w:r>
      <w:r w:rsidR="008D5684" w:rsidRPr="0056457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68299E" w:rsidRPr="003D5AA7" w:rsidRDefault="00601627" w:rsidP="00E8669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99E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D5684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299E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939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299E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сотрудниками ТФОМС НСО и страховы</w:t>
      </w:r>
      <w:r w:rsidR="00667D68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8299E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="00667D68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8299E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67D68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68299E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3A0142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8299E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рамках обязательного медицинского страхования на территории  Новосибирской области, проведено анонимное анкетирование в медицинских организациях,</w:t>
      </w:r>
      <w:r w:rsidR="00C048C6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оказывающи</w:t>
      </w:r>
      <w:r w:rsidR="003A0142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048C6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медицинскую помощь застрахованным лицам в амбулаторных, в стационарных условиях или в условиях дневного стационара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анкетам </w:t>
      </w:r>
      <w:r w:rsidR="0049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второго уровн</w:t>
      </w:r>
      <w:r w:rsidR="004939A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предусматривающих сбор информации об удовлетворенности застрахованных лиц качеством и доступностью медицинской помощи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информированности о возможностях системы оказания медицинской помощи и о правах застрахованных лиц в сфере обязательного медицинского страхования</w:t>
      </w:r>
      <w:r w:rsidR="00C048C6" w:rsidRPr="003D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48C6" w:rsidRPr="00991BE8" w:rsidRDefault="00C048C6" w:rsidP="00E8669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AA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>Всего опрошено</w:t>
      </w:r>
      <w:r w:rsidR="0049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2 472</w:t>
      </w: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</w:t>
      </w:r>
      <w:r w:rsidR="004939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C048C6" w:rsidRPr="00991BE8" w:rsidRDefault="00C048C6" w:rsidP="00E86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получивших первичную медико-санитарную помощь в амбулаторных условиях  - </w:t>
      </w:r>
      <w:r w:rsidR="0049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836 </w:t>
      </w: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>чел;</w:t>
      </w:r>
    </w:p>
    <w:p w:rsidR="00C048C6" w:rsidRPr="00991BE8" w:rsidRDefault="00C048C6" w:rsidP="00E86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получивших специализированную медицинскую помощь в стационарных условиях – </w:t>
      </w:r>
      <w:r w:rsidR="0049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832 </w:t>
      </w: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>чел;</w:t>
      </w:r>
    </w:p>
    <w:p w:rsidR="00C048C6" w:rsidRPr="00991BE8" w:rsidRDefault="00C048C6" w:rsidP="00E86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получивших первичную медико-санитарную помощь и специализированную помощь в условиях дневного стационара – </w:t>
      </w:r>
      <w:r w:rsidR="004939AB">
        <w:rPr>
          <w:rFonts w:ascii="Times New Roman" w:hAnsi="Times New Roman" w:cs="Times New Roman"/>
          <w:color w:val="000000" w:themeColor="text1"/>
          <w:sz w:val="28"/>
          <w:szCs w:val="28"/>
        </w:rPr>
        <w:t>804</w:t>
      </w:r>
      <w:r w:rsidRPr="009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8D5684" w:rsidRPr="003D5AA7" w:rsidRDefault="008D5684" w:rsidP="00E866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4242" w:rsidRPr="000142EF" w:rsidRDefault="008D5684" w:rsidP="00E86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2E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медицинских организаций, в которых проведено анкетирование</w:t>
      </w:r>
      <w:r w:rsidR="00DE690D" w:rsidRPr="0001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01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142EF" w:rsidRPr="000142EF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014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237E" w:rsidRDefault="00667D68" w:rsidP="00E86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опрошенных застрахованных лиц, получивших медицинскую помощь в разных условиях, </w:t>
      </w:r>
      <w:r w:rsidR="00C048C6">
        <w:rPr>
          <w:rFonts w:ascii="Times New Roman" w:hAnsi="Times New Roman" w:cs="Times New Roman"/>
          <w:sz w:val="28"/>
          <w:szCs w:val="28"/>
        </w:rPr>
        <w:t xml:space="preserve">к общему числу </w:t>
      </w:r>
      <w:r>
        <w:rPr>
          <w:rFonts w:ascii="Times New Roman" w:hAnsi="Times New Roman" w:cs="Times New Roman"/>
          <w:sz w:val="28"/>
          <w:szCs w:val="28"/>
        </w:rPr>
        <w:t xml:space="preserve">проанкетированных граждан </w:t>
      </w:r>
      <w:r w:rsidR="00C048C6">
        <w:rPr>
          <w:rFonts w:ascii="Times New Roman" w:hAnsi="Times New Roman" w:cs="Times New Roman"/>
          <w:sz w:val="28"/>
          <w:szCs w:val="28"/>
        </w:rPr>
        <w:t>приведен</w:t>
      </w:r>
      <w:r w:rsidR="003A0142">
        <w:rPr>
          <w:rFonts w:ascii="Times New Roman" w:hAnsi="Times New Roman" w:cs="Times New Roman"/>
          <w:sz w:val="28"/>
          <w:szCs w:val="28"/>
        </w:rPr>
        <w:t>а</w:t>
      </w:r>
      <w:r w:rsidR="00C048C6">
        <w:rPr>
          <w:rFonts w:ascii="Times New Roman" w:hAnsi="Times New Roman" w:cs="Times New Roman"/>
          <w:sz w:val="28"/>
          <w:szCs w:val="28"/>
        </w:rPr>
        <w:t xml:space="preserve"> на рис.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BE8" w:rsidRDefault="00991BE8" w:rsidP="00991B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3210" cy="2679404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A7936" w:rsidRDefault="00E73990" w:rsidP="008A79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социологического опроса граждан на степень удовлетворенности качеством медицинской помощи, оказываемой в медицинских организациях Новосибирской области, приведен на рис. 2.</w:t>
      </w:r>
    </w:p>
    <w:p w:rsidR="00F05160" w:rsidRDefault="00F05160" w:rsidP="00F051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251945" cy="2360428"/>
            <wp:effectExtent l="0" t="0" r="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1754" w:rsidRPr="002525AB" w:rsidRDefault="00E73990" w:rsidP="00E86697">
      <w:pPr>
        <w:pStyle w:val="4"/>
        <w:shd w:val="clear" w:color="auto" w:fill="FFFFFF"/>
        <w:spacing w:before="0" w:beforeAutospacing="0" w:after="300" w:afterAutospacing="0"/>
        <w:ind w:firstLine="708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proofErr w:type="gramStart"/>
      <w:r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По результатам анонимного анкетирования уровень удовлетворенности</w:t>
      </w:r>
      <w:r w:rsidR="00531B4B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качеством медицинской помощи в </w:t>
      </w:r>
      <w:r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201</w:t>
      </w:r>
      <w:r w:rsidR="006A561E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7 год</w:t>
      </w:r>
      <w:r w:rsidR="00806E51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у</w:t>
      </w:r>
      <w:r w:rsidR="006A561E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составил </w:t>
      </w:r>
      <w:r w:rsidR="00F05160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8</w:t>
      </w:r>
      <w:r w:rsidR="00806E51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3</w:t>
      </w:r>
      <w:r w:rsidR="00531B4B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,</w:t>
      </w:r>
      <w:r w:rsidR="00806E51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8</w:t>
      </w:r>
      <w:r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%, что выше </w:t>
      </w:r>
      <w:r w:rsidR="00B80411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целевого значения критерия качества медицинской помощи</w:t>
      </w:r>
      <w:r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, установленно</w:t>
      </w:r>
      <w:r w:rsidR="00B80411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го</w:t>
      </w:r>
      <w:r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Территориальной программой</w:t>
      </w:r>
      <w:r w:rsidR="00B80411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государственных гарантий бесплатного оказаниягражданам медицинской помощи в Новосибирской области на 201</w:t>
      </w:r>
      <w:r w:rsidR="00DE690D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7</w:t>
      </w:r>
      <w:r w:rsidR="00B80411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год, утвержденной постановлением </w:t>
      </w:r>
      <w:r w:rsidR="00DE690D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Правительства </w:t>
      </w:r>
      <w:r w:rsidR="0020795A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Новосибирской области от </w:t>
      </w:r>
      <w:r w:rsidR="00DE690D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27</w:t>
      </w:r>
      <w:r w:rsidR="0020795A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.12.201</w:t>
      </w:r>
      <w:r w:rsidR="00DE690D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6</w:t>
      </w:r>
      <w:r w:rsidR="009B1A34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№</w:t>
      </w:r>
      <w:r w:rsidR="00DE690D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447-п</w:t>
      </w:r>
      <w:r w:rsidR="00F05160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(в ред. </w:t>
      </w:r>
      <w:hyperlink r:id="rId9" w:history="1">
        <w:r w:rsidR="00F05160" w:rsidRPr="002525AB">
          <w:rPr>
            <w:rFonts w:eastAsiaTheme="minorHAnsi"/>
            <w:b w:val="0"/>
            <w:bCs w:val="0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="00F05160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Правительства Новосибирской области от 29.08.2017 N 330-п)</w:t>
      </w:r>
      <w:r w:rsidR="00DE690D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,</w:t>
      </w:r>
      <w:r w:rsidR="00E86697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который составляет </w:t>
      </w:r>
      <w:r w:rsidR="00F05160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63,4</w:t>
      </w:r>
      <w:r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%</w:t>
      </w:r>
      <w:r w:rsidR="00B80411" w:rsidRPr="002525A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.</w:t>
      </w:r>
      <w:proofErr w:type="gramEnd"/>
    </w:p>
    <w:p w:rsidR="00DA745A" w:rsidRDefault="00DA745A" w:rsidP="00E86697">
      <w:pPr>
        <w:pStyle w:val="4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</w:t>
      </w:r>
      <w:r>
        <w:rPr>
          <w:b w:val="0"/>
          <w:color w:val="000000" w:themeColor="text1"/>
          <w:sz w:val="28"/>
          <w:szCs w:val="28"/>
          <w:lang w:val="en-US"/>
        </w:rPr>
        <w:t>III</w:t>
      </w:r>
      <w:r w:rsidR="00E86697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b w:val="0"/>
          <w:color w:val="000000" w:themeColor="text1"/>
          <w:sz w:val="28"/>
          <w:szCs w:val="28"/>
        </w:rPr>
        <w:t>квартале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2017 года проходило анкетирование второго уровня, которое предусматривало сбор развернутой информации об удовлетворенности застрахованных качеством и доступностью медицинской помощи, а также информированности о возможностях системы оказания медицинской помощи и о правах застрахованных лиц в сфере ОМС.</w:t>
      </w:r>
    </w:p>
    <w:p w:rsidR="008771FD" w:rsidRDefault="00DA745A" w:rsidP="00E86697">
      <w:pPr>
        <w:pStyle w:val="4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При исследовании уровня информированности застрахованных лиц о своих правах при получении медицинской помощи в амбулаторных и стационарных условиях, а также в условиях дневного стационара, было проанкетировано </w:t>
      </w:r>
      <w:r w:rsidR="000142EF" w:rsidRPr="000142EF">
        <w:rPr>
          <w:b w:val="0"/>
          <w:color w:val="000000" w:themeColor="text1"/>
          <w:sz w:val="28"/>
          <w:szCs w:val="28"/>
        </w:rPr>
        <w:t>599</w:t>
      </w:r>
      <w:r w:rsidRPr="000142EF">
        <w:rPr>
          <w:b w:val="0"/>
          <w:color w:val="000000" w:themeColor="text1"/>
          <w:sz w:val="28"/>
          <w:szCs w:val="28"/>
        </w:rPr>
        <w:t xml:space="preserve"> чел.,</w:t>
      </w:r>
      <w:r>
        <w:rPr>
          <w:b w:val="0"/>
          <w:color w:val="000000" w:themeColor="text1"/>
          <w:sz w:val="28"/>
          <w:szCs w:val="28"/>
        </w:rPr>
        <w:t xml:space="preserve"> и получены следующие результаты:</w:t>
      </w:r>
    </w:p>
    <w:p w:rsidR="00DA745A" w:rsidRDefault="00DA745A" w:rsidP="00DA745A">
      <w:pPr>
        <w:pStyle w:val="4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3040912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DA745A" w:rsidSect="00EB103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BC" w:rsidRDefault="00CE78BC" w:rsidP="0068299E">
      <w:pPr>
        <w:spacing w:after="0" w:line="240" w:lineRule="auto"/>
      </w:pPr>
      <w:r>
        <w:separator/>
      </w:r>
    </w:p>
  </w:endnote>
  <w:endnote w:type="continuationSeparator" w:id="1">
    <w:p w:rsidR="00CE78BC" w:rsidRDefault="00CE78BC" w:rsidP="0068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BC" w:rsidRDefault="00CE78BC" w:rsidP="0068299E">
      <w:pPr>
        <w:spacing w:after="0" w:line="240" w:lineRule="auto"/>
      </w:pPr>
      <w:r>
        <w:separator/>
      </w:r>
    </w:p>
  </w:footnote>
  <w:footnote w:type="continuationSeparator" w:id="1">
    <w:p w:rsidR="00CE78BC" w:rsidRDefault="00CE78BC" w:rsidP="0068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8299E"/>
    <w:rsid w:val="0000732A"/>
    <w:rsid w:val="000142EF"/>
    <w:rsid w:val="00017DE3"/>
    <w:rsid w:val="00083B4D"/>
    <w:rsid w:val="000C3DF7"/>
    <w:rsid w:val="000C4495"/>
    <w:rsid w:val="000D4078"/>
    <w:rsid w:val="000E1754"/>
    <w:rsid w:val="000F7D19"/>
    <w:rsid w:val="001200F6"/>
    <w:rsid w:val="00184F58"/>
    <w:rsid w:val="00190B9A"/>
    <w:rsid w:val="001A6503"/>
    <w:rsid w:val="001B7DBD"/>
    <w:rsid w:val="0020795A"/>
    <w:rsid w:val="002525AB"/>
    <w:rsid w:val="002B315B"/>
    <w:rsid w:val="002E21B7"/>
    <w:rsid w:val="0038489B"/>
    <w:rsid w:val="00397A2F"/>
    <w:rsid w:val="003A0142"/>
    <w:rsid w:val="003C5780"/>
    <w:rsid w:val="003D5AA7"/>
    <w:rsid w:val="003E31D0"/>
    <w:rsid w:val="00420DE2"/>
    <w:rsid w:val="004939AB"/>
    <w:rsid w:val="004F12BB"/>
    <w:rsid w:val="00531B4B"/>
    <w:rsid w:val="0056457D"/>
    <w:rsid w:val="00564D0E"/>
    <w:rsid w:val="00594242"/>
    <w:rsid w:val="005C19C6"/>
    <w:rsid w:val="005C66DB"/>
    <w:rsid w:val="005D0462"/>
    <w:rsid w:val="00601627"/>
    <w:rsid w:val="00620E10"/>
    <w:rsid w:val="00661A23"/>
    <w:rsid w:val="00667D68"/>
    <w:rsid w:val="0068299E"/>
    <w:rsid w:val="006A561E"/>
    <w:rsid w:val="006D3BF2"/>
    <w:rsid w:val="00760C34"/>
    <w:rsid w:val="008052E4"/>
    <w:rsid w:val="00806E51"/>
    <w:rsid w:val="008472CA"/>
    <w:rsid w:val="008771FD"/>
    <w:rsid w:val="00891324"/>
    <w:rsid w:val="008A7936"/>
    <w:rsid w:val="008D5684"/>
    <w:rsid w:val="009125A6"/>
    <w:rsid w:val="00947D14"/>
    <w:rsid w:val="00947E53"/>
    <w:rsid w:val="00964907"/>
    <w:rsid w:val="00991BE8"/>
    <w:rsid w:val="009B1A34"/>
    <w:rsid w:val="009E6657"/>
    <w:rsid w:val="00A20BCF"/>
    <w:rsid w:val="00A810B2"/>
    <w:rsid w:val="00B80411"/>
    <w:rsid w:val="00C048C6"/>
    <w:rsid w:val="00C37D51"/>
    <w:rsid w:val="00C5237E"/>
    <w:rsid w:val="00C61D41"/>
    <w:rsid w:val="00CE78BC"/>
    <w:rsid w:val="00D6742A"/>
    <w:rsid w:val="00D7726C"/>
    <w:rsid w:val="00D8521E"/>
    <w:rsid w:val="00D91138"/>
    <w:rsid w:val="00DA745A"/>
    <w:rsid w:val="00DE690D"/>
    <w:rsid w:val="00DF33D4"/>
    <w:rsid w:val="00E644FE"/>
    <w:rsid w:val="00E73990"/>
    <w:rsid w:val="00E86697"/>
    <w:rsid w:val="00EA5F59"/>
    <w:rsid w:val="00EB1037"/>
    <w:rsid w:val="00F05160"/>
    <w:rsid w:val="00F130B4"/>
    <w:rsid w:val="00F45D5E"/>
    <w:rsid w:val="00F83A42"/>
    <w:rsid w:val="00F863DD"/>
    <w:rsid w:val="00F9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4"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5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5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CB9DAC8DC8170D450F8172C3C4E9E7FEECC617092CFC9704E4DCCD6993746435284CCBE840C03C20D1F5AzFB6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Доля опрошенных застрахованных лиц по вопросам качества медицинской помощи, получивших медицинскую помощь в разных условиях </a:t>
            </a:r>
          </a:p>
          <a:p>
            <a:pPr algn="ctr" rtl="0">
              <a:defRPr/>
            </a:pP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 получении стационарной МП</c:v>
                </c:pt>
              </c:strCache>
            </c:strRef>
          </c:tx>
          <c:dLbls>
            <c:dLbl>
              <c:idx val="0"/>
              <c:layout>
                <c:manualLayout>
                  <c:x val="-1.0941607247326332E-2"/>
                  <c:y val="-5.537164235031374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33,7</a:t>
                    </a:r>
                    <a:r>
                      <a:rPr lang="ru-RU" b="1"/>
                      <a:t>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0.13323434095144274"/>
                  <c:y val="-4.21239200956630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32,5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4.2243125927555428E-2"/>
                  <c:y val="-7.988866180687946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33,8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при получении стационарной МП</c:v>
                </c:pt>
                <c:pt idx="1">
                  <c:v>при получении стационарно-замещающей МП</c:v>
                </c:pt>
                <c:pt idx="2">
                  <c:v>при получении амбулаторно-поликлинической МП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33.656957928802591</c:v>
                </c:pt>
                <c:pt idx="1">
                  <c:v>32.5</c:v>
                </c:pt>
                <c:pt idx="2">
                  <c:v>33.800000000000011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Результаты анонимного анкетирования, проведенного ТФОМС НСО и СМО за 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0204688301000727E-2"/>
                  <c:y val="-0.27507109426513005"/>
                </c:manualLayout>
              </c:layout>
              <c:showPercent val="1"/>
            </c:dLbl>
            <c:dLbl>
              <c:idx val="1"/>
              <c:layout>
                <c:manualLayout>
                  <c:x val="1.599598205038592E-2"/>
                  <c:y val="1.3206206404619071E-2"/>
                </c:manualLayout>
              </c:layout>
              <c:showPercent val="1"/>
            </c:dLbl>
            <c:dLbl>
              <c:idx val="2"/>
              <c:layout>
                <c:manualLayout>
                  <c:x val="2.5667212363512486E-3"/>
                  <c:y val="-5.3825336661178683E-2"/>
                </c:manualLayout>
              </c:layout>
              <c:showPercent val="1"/>
            </c:dLbl>
            <c:dLbl>
              <c:idx val="3"/>
              <c:layout>
                <c:manualLayout>
                  <c:x val="9.9664984256899293E-4"/>
                  <c:y val="-7.5914786663268717E-3"/>
                </c:manualLayout>
              </c:layout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</c:dLbls>
          <c:cat>
            <c:strRef>
              <c:f>Лист1!$A$2:$A$6</c:f>
              <c:strCache>
                <c:ptCount val="5"/>
                <c:pt idx="0">
                  <c:v>удовлетворены качеством мед помощи</c:v>
                </c:pt>
                <c:pt idx="1">
                  <c:v>не удовлетворены качеством мед помощи</c:v>
                </c:pt>
                <c:pt idx="2">
                  <c:v>больше удовлетворены, чем неудовлетворены</c:v>
                </c:pt>
                <c:pt idx="3">
                  <c:v>удовлетворены не в полной мере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51.699029126213574</c:v>
                </c:pt>
                <c:pt idx="1">
                  <c:v>3.3576051779935261</c:v>
                </c:pt>
                <c:pt idx="2">
                  <c:v>32.079288025889966</c:v>
                </c:pt>
                <c:pt idx="3">
                  <c:v>10.072815533980584</c:v>
                </c:pt>
                <c:pt idx="4">
                  <c:v>2.7912621359223304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удовлетворены качеством мед помощи</c:v>
                </c:pt>
                <c:pt idx="1">
                  <c:v>не удовлетворены качеством мед помощи</c:v>
                </c:pt>
                <c:pt idx="2">
                  <c:v>больше удовлетворены, чем неудовлетворены</c:v>
                </c:pt>
                <c:pt idx="3">
                  <c:v>удовлетворены не в полной мере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1278</c:v>
                </c:pt>
                <c:pt idx="1">
                  <c:v>83</c:v>
                </c:pt>
                <c:pt idx="2">
                  <c:v>793</c:v>
                </c:pt>
                <c:pt idx="3">
                  <c:v>249</c:v>
                </c:pt>
                <c:pt idx="4">
                  <c:v>69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Доля проанкетированных граждан, которые занют, что в системе ОМС они имеют право на: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65,9</a:t>
                    </a:r>
                    <a:r>
                      <a:rPr lang="ru-RU" b="1"/>
                      <a:t> %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56,6</a:t>
                    </a:r>
                    <a:r>
                      <a:rPr lang="ru-RU" b="1"/>
                      <a:t> %</a:t>
                    </a:r>
                    <a:endParaRPr lang="en-US" b="1"/>
                  </a:p>
                </c:rich>
              </c:tx>
              <c:showVal val="1"/>
            </c:dLbl>
            <c:dLbl>
              <c:idx val="2"/>
              <c:layout>
                <c:manualLayout>
                  <c:x val="-4.6296296296296302E-3"/>
                  <c:y val="-3.031584817059373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60,1</a:t>
                    </a:r>
                    <a:r>
                      <a:rPr lang="ru-RU" b="1"/>
                      <a:t> 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68,8</a:t>
                    </a:r>
                    <a:r>
                      <a:rPr lang="ru-RU" b="1"/>
                      <a:t> %</a:t>
                    </a:r>
                    <a:endParaRPr lang="en-US" b="1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59,3</a:t>
                    </a:r>
                    <a:r>
                      <a:rPr lang="ru-RU" b="1"/>
                      <a:t> 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выбор МО</c:v>
                </c:pt>
                <c:pt idx="1">
                  <c:v>выбор СМО</c:v>
                </c:pt>
                <c:pt idx="2">
                  <c:v>на выбор врача</c:v>
                </c:pt>
                <c:pt idx="3">
                  <c:v>на отказ от медицинского вмешательства</c:v>
                </c:pt>
                <c:pt idx="4">
                  <c:v>на защиту прав в случае нарушения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65.943238731218713</c:v>
                </c:pt>
                <c:pt idx="1">
                  <c:v>56.594323873121873</c:v>
                </c:pt>
                <c:pt idx="2">
                  <c:v>60.100166944908189</c:v>
                </c:pt>
                <c:pt idx="3">
                  <c:v>68.781302170283794</c:v>
                </c:pt>
                <c:pt idx="4">
                  <c:v>59.265442404006677</c:v>
                </c:pt>
              </c:numCache>
            </c:numRef>
          </c:val>
        </c:ser>
        <c:dLbls/>
        <c:axId val="80107392"/>
        <c:axId val="80105856"/>
      </c:barChart>
      <c:valAx>
        <c:axId val="80105856"/>
        <c:scaling>
          <c:orientation val="minMax"/>
        </c:scaling>
        <c:axPos val="l"/>
        <c:majorGridlines/>
        <c:numFmt formatCode="0.0" sourceLinked="1"/>
        <c:tickLblPos val="nextTo"/>
        <c:crossAx val="80107392"/>
        <c:crosses val="autoZero"/>
        <c:crossBetween val="between"/>
      </c:valAx>
      <c:catAx>
        <c:axId val="801073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80105856"/>
        <c:crosses val="autoZero"/>
        <c:auto val="1"/>
        <c:lblAlgn val="ctr"/>
        <c:lblOffset val="100"/>
      </c:catAx>
    </c:plotArea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AFD-F0CF-4967-B2EC-2B40D0D4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kin</cp:lastModifiedBy>
  <cp:revision>6</cp:revision>
  <cp:lastPrinted>2018-01-29T02:26:00Z</cp:lastPrinted>
  <dcterms:created xsi:type="dcterms:W3CDTF">2018-01-29T07:13:00Z</dcterms:created>
  <dcterms:modified xsi:type="dcterms:W3CDTF">2018-02-08T02:32:00Z</dcterms:modified>
</cp:coreProperties>
</file>