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85" w:rsidRPr="00B12385" w:rsidRDefault="00B12385" w:rsidP="00B12385">
      <w:pPr>
        <w:autoSpaceDE w:val="0"/>
        <w:autoSpaceDN w:val="0"/>
        <w:adjustRightInd w:val="0"/>
        <w:jc w:val="right"/>
        <w:rPr>
          <w:snapToGrid w:val="0"/>
          <w:sz w:val="24"/>
          <w:szCs w:val="24"/>
          <w:u w:color="000000"/>
        </w:rPr>
      </w:pPr>
      <w:r w:rsidRPr="00B12385">
        <w:rPr>
          <w:snapToGrid w:val="0"/>
          <w:sz w:val="24"/>
          <w:szCs w:val="24"/>
          <w:u w:color="000000"/>
        </w:rPr>
        <w:t xml:space="preserve">Приложение </w:t>
      </w:r>
      <w:r>
        <w:rPr>
          <w:snapToGrid w:val="0"/>
          <w:sz w:val="24"/>
          <w:szCs w:val="24"/>
          <w:u w:color="000000"/>
        </w:rPr>
        <w:t>3</w:t>
      </w:r>
    </w:p>
    <w:p w:rsidR="00B12385" w:rsidRPr="00B12385" w:rsidRDefault="00B12385" w:rsidP="00B12385">
      <w:pPr>
        <w:autoSpaceDE w:val="0"/>
        <w:autoSpaceDN w:val="0"/>
        <w:adjustRightInd w:val="0"/>
        <w:jc w:val="right"/>
        <w:rPr>
          <w:snapToGrid w:val="0"/>
          <w:sz w:val="24"/>
          <w:szCs w:val="24"/>
          <w:u w:color="000000"/>
        </w:rPr>
      </w:pPr>
      <w:r w:rsidRPr="00B12385">
        <w:rPr>
          <w:snapToGrid w:val="0"/>
          <w:sz w:val="24"/>
          <w:szCs w:val="24"/>
          <w:u w:color="000000"/>
        </w:rPr>
        <w:t xml:space="preserve">к Тарифному соглашению в системе обязательного медицинского  страхования </w:t>
      </w:r>
    </w:p>
    <w:p w:rsidR="00D04F62" w:rsidRPr="008F081F" w:rsidRDefault="00B12385" w:rsidP="00B12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2385">
        <w:rPr>
          <w:snapToGrid w:val="0"/>
          <w:sz w:val="24"/>
          <w:szCs w:val="24"/>
          <w:u w:color="000000"/>
        </w:rPr>
        <w:t xml:space="preserve">Новосибирской области от </w:t>
      </w:r>
      <w:r w:rsidR="008F75B7" w:rsidRPr="008F75B7">
        <w:rPr>
          <w:snapToGrid w:val="0"/>
          <w:sz w:val="24"/>
          <w:szCs w:val="24"/>
          <w:u w:color="000000"/>
        </w:rPr>
        <w:t>29.12.2018</w:t>
      </w:r>
    </w:p>
    <w:p w:rsidR="00B12385" w:rsidRDefault="00B12385" w:rsidP="00D04F62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</w:p>
    <w:p w:rsidR="00B12385" w:rsidRDefault="00B12385" w:rsidP="00D04F62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</w:p>
    <w:p w:rsidR="00F54570" w:rsidRDefault="00F54570" w:rsidP="00D04F62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r w:rsidRPr="00F54570">
        <w:rPr>
          <w:b/>
          <w:kern w:val="24"/>
          <w:sz w:val="24"/>
          <w:szCs w:val="24"/>
        </w:rPr>
        <w:t xml:space="preserve">Порядок применения способов оплаты медицинской помощи, оказанной </w:t>
      </w:r>
    </w:p>
    <w:p w:rsidR="00D04F62" w:rsidRDefault="00F54570" w:rsidP="00D04F62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r w:rsidRPr="00F54570">
        <w:rPr>
          <w:b/>
          <w:kern w:val="24"/>
          <w:sz w:val="24"/>
          <w:szCs w:val="24"/>
        </w:rPr>
        <w:t xml:space="preserve">в стационарных </w:t>
      </w:r>
      <w:proofErr w:type="gramStart"/>
      <w:r w:rsidRPr="00F54570">
        <w:rPr>
          <w:b/>
          <w:kern w:val="24"/>
          <w:sz w:val="24"/>
          <w:szCs w:val="24"/>
        </w:rPr>
        <w:t>условиях</w:t>
      </w:r>
      <w:proofErr w:type="gramEnd"/>
    </w:p>
    <w:p w:rsidR="00F54570" w:rsidRPr="008F081F" w:rsidRDefault="00F54570" w:rsidP="00D04F62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</w:p>
    <w:p w:rsidR="00D04F62" w:rsidRPr="008F081F" w:rsidRDefault="00D04F62" w:rsidP="00D04F62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bdr w:val="nil"/>
        </w:rPr>
      </w:pPr>
      <w:r w:rsidRPr="008F081F">
        <w:rPr>
          <w:rFonts w:eastAsia="Arial Unicode MS"/>
          <w:sz w:val="24"/>
          <w:szCs w:val="24"/>
          <w:bdr w:val="nil"/>
        </w:rPr>
        <w:t>1. Оплата медицинской помощи</w:t>
      </w:r>
      <w:r w:rsidR="008F435A" w:rsidRPr="008F081F">
        <w:rPr>
          <w:rFonts w:eastAsia="Arial Unicode MS"/>
          <w:sz w:val="24"/>
          <w:szCs w:val="24"/>
          <w:bdr w:val="nil"/>
        </w:rPr>
        <w:t>,</w:t>
      </w:r>
      <w:r w:rsidRPr="008F081F">
        <w:rPr>
          <w:rFonts w:eastAsia="Arial Unicode MS"/>
          <w:sz w:val="24"/>
          <w:szCs w:val="24"/>
          <w:bdr w:val="nil"/>
        </w:rPr>
        <w:t xml:space="preserve"> оказанной в условиях </w:t>
      </w:r>
      <w:r w:rsidR="009B5E5F" w:rsidRPr="008F081F">
        <w:rPr>
          <w:rFonts w:eastAsia="Arial Unicode MS"/>
          <w:sz w:val="24"/>
          <w:szCs w:val="24"/>
          <w:bdr w:val="nil"/>
        </w:rPr>
        <w:t>стационар</w:t>
      </w:r>
      <w:r w:rsidR="009B5E5F">
        <w:rPr>
          <w:rFonts w:eastAsia="Arial Unicode MS"/>
          <w:sz w:val="24"/>
          <w:szCs w:val="24"/>
          <w:bdr w:val="nil"/>
        </w:rPr>
        <w:t>а,</w:t>
      </w:r>
      <w:r w:rsidR="009B5E5F" w:rsidRPr="008F081F">
        <w:rPr>
          <w:rFonts w:eastAsia="Arial Unicode MS"/>
          <w:sz w:val="24"/>
          <w:szCs w:val="24"/>
          <w:bdr w:val="nil"/>
        </w:rPr>
        <w:t xml:space="preserve"> </w:t>
      </w:r>
      <w:r w:rsidRPr="008F081F">
        <w:rPr>
          <w:rFonts w:eastAsia="Arial Unicode MS"/>
          <w:sz w:val="24"/>
          <w:szCs w:val="24"/>
          <w:bdr w:val="nil"/>
        </w:rPr>
        <w:t>осуществляется:</w:t>
      </w:r>
    </w:p>
    <w:p w:rsidR="00D04F62" w:rsidRPr="008F081F" w:rsidRDefault="009B5E5F" w:rsidP="00D04F62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bdr w:val="nil"/>
        </w:rPr>
      </w:pPr>
      <w:proofErr w:type="gramStart"/>
      <w:r>
        <w:rPr>
          <w:rFonts w:eastAsia="Arial Unicode MS"/>
          <w:sz w:val="24"/>
          <w:szCs w:val="24"/>
          <w:bdr w:val="nil"/>
        </w:rPr>
        <w:t>-</w:t>
      </w:r>
      <w:r w:rsidR="00D04F62" w:rsidRPr="008F081F">
        <w:rPr>
          <w:rFonts w:eastAsia="Arial Unicode MS"/>
          <w:sz w:val="24"/>
          <w:szCs w:val="24"/>
          <w:bdr w:val="nil"/>
        </w:rPr>
        <w:t> за законченный случай лечения заболевания</w:t>
      </w:r>
      <w:r w:rsidR="008F435A" w:rsidRPr="008F081F">
        <w:rPr>
          <w:rFonts w:eastAsia="Arial Unicode MS"/>
          <w:sz w:val="24"/>
          <w:szCs w:val="24"/>
          <w:bdr w:val="nil"/>
        </w:rPr>
        <w:t>,</w:t>
      </w:r>
      <w:r w:rsidR="00D04F62" w:rsidRPr="008F081F">
        <w:rPr>
          <w:rFonts w:eastAsia="Arial Unicode MS"/>
          <w:sz w:val="24"/>
          <w:szCs w:val="24"/>
          <w:bdr w:val="nil"/>
        </w:rPr>
        <w:t xml:space="preserve"> включенного в соответствующую группу заболеваний</w:t>
      </w:r>
      <w:r w:rsidR="008F435A" w:rsidRPr="008F081F">
        <w:rPr>
          <w:rFonts w:eastAsia="Arial Unicode MS"/>
          <w:sz w:val="24"/>
          <w:szCs w:val="24"/>
          <w:bdr w:val="nil"/>
        </w:rPr>
        <w:t>,</w:t>
      </w:r>
      <w:r w:rsidR="00D04F62" w:rsidRPr="008F081F">
        <w:rPr>
          <w:rFonts w:eastAsia="Arial Unicode MS"/>
          <w:sz w:val="24"/>
          <w:szCs w:val="24"/>
          <w:bdr w:val="nil"/>
        </w:rPr>
        <w:t xml:space="preserve"> в том числе клинико-статистические группы (далее – КСГ);</w:t>
      </w:r>
      <w:proofErr w:type="gramEnd"/>
    </w:p>
    <w:p w:rsidR="00D04F62" w:rsidRPr="008F081F" w:rsidRDefault="00D04F62" w:rsidP="00D04F62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u w:val="single"/>
          <w:bdr w:val="nil"/>
        </w:rPr>
      </w:pPr>
      <w:r w:rsidRPr="008F081F">
        <w:rPr>
          <w:rFonts w:eastAsia="Arial Unicode MS"/>
          <w:sz w:val="24"/>
          <w:szCs w:val="24"/>
          <w:bdr w:val="nil"/>
        </w:rPr>
        <w:t>- за прерванный случай оказания медицинской помощи при переводе пациента в другую медицинскую организацию</w:t>
      </w:r>
      <w:r w:rsidR="008F435A" w:rsidRPr="008F081F">
        <w:rPr>
          <w:rFonts w:eastAsia="Arial Unicode MS"/>
          <w:sz w:val="24"/>
          <w:szCs w:val="24"/>
          <w:bdr w:val="nil"/>
        </w:rPr>
        <w:t>,</w:t>
      </w:r>
      <w:r w:rsidRPr="008F081F">
        <w:rPr>
          <w:rFonts w:eastAsia="Arial Unicode MS"/>
          <w:sz w:val="24"/>
          <w:szCs w:val="24"/>
          <w:bdr w:val="nil"/>
        </w:rPr>
        <w:t xml:space="preserve"> преждевременной выписке пациента из медицинской организации при его письменном отказе от дальнейшего лечения</w:t>
      </w:r>
      <w:r w:rsidR="008F435A" w:rsidRPr="008F081F">
        <w:rPr>
          <w:rFonts w:eastAsia="Arial Unicode MS"/>
          <w:sz w:val="24"/>
          <w:szCs w:val="24"/>
          <w:bdr w:val="nil"/>
        </w:rPr>
        <w:t>,</w:t>
      </w:r>
      <w:r w:rsidRPr="008F081F">
        <w:rPr>
          <w:rFonts w:eastAsia="Arial Unicode MS"/>
          <w:sz w:val="24"/>
          <w:szCs w:val="24"/>
          <w:bdr w:val="nil"/>
        </w:rPr>
        <w:t xml:space="preserve"> летальном исходе</w:t>
      </w:r>
      <w:r w:rsidR="008F435A" w:rsidRPr="008F081F">
        <w:rPr>
          <w:rFonts w:eastAsia="Arial Unicode MS"/>
          <w:sz w:val="24"/>
          <w:szCs w:val="24"/>
          <w:bdr w:val="nil"/>
        </w:rPr>
        <w:t>,</w:t>
      </w:r>
      <w:r w:rsidRPr="008F081F">
        <w:rPr>
          <w:rFonts w:eastAsia="Arial Unicode MS"/>
          <w:sz w:val="24"/>
          <w:szCs w:val="24"/>
          <w:bdr w:val="nil"/>
        </w:rPr>
        <w:t xml:space="preserve"> при проведении диагностических исследований</w:t>
      </w:r>
      <w:r w:rsidR="008F435A" w:rsidRPr="008F081F">
        <w:rPr>
          <w:rFonts w:eastAsia="Arial Unicode MS"/>
          <w:sz w:val="24"/>
          <w:szCs w:val="24"/>
          <w:bdr w:val="nil"/>
        </w:rPr>
        <w:t>,</w:t>
      </w:r>
      <w:r w:rsidRPr="008F081F">
        <w:rPr>
          <w:rFonts w:eastAsia="Arial Unicode MS"/>
          <w:sz w:val="24"/>
          <w:szCs w:val="24"/>
          <w:bdr w:val="nil"/>
        </w:rPr>
        <w:t xml:space="preserve"> оказании услуг диализа</w:t>
      </w:r>
      <w:r w:rsidR="008F435A" w:rsidRPr="008F081F">
        <w:rPr>
          <w:rFonts w:eastAsia="Arial Unicode MS"/>
          <w:sz w:val="24"/>
          <w:szCs w:val="24"/>
          <w:bdr w:val="nil"/>
        </w:rPr>
        <w:t>,</w:t>
      </w:r>
      <w:r w:rsidRPr="008F081F">
        <w:rPr>
          <w:rFonts w:eastAsia="Arial Unicode MS"/>
          <w:sz w:val="24"/>
          <w:szCs w:val="24"/>
          <w:bdr w:val="nil"/>
        </w:rPr>
        <w:t xml:space="preserve"> при длительности госпитализации менее 3 дней включительно.</w:t>
      </w:r>
    </w:p>
    <w:p w:rsidR="00DE1ACC" w:rsidRPr="008F081F" w:rsidRDefault="00D04F62" w:rsidP="00DE1ACC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F081F">
        <w:rPr>
          <w:sz w:val="24"/>
          <w:szCs w:val="24"/>
        </w:rPr>
        <w:t xml:space="preserve">В условиях </w:t>
      </w:r>
      <w:r w:rsidR="009B5E5F" w:rsidRPr="008F081F">
        <w:rPr>
          <w:sz w:val="24"/>
          <w:szCs w:val="24"/>
        </w:rPr>
        <w:t>стационар</w:t>
      </w:r>
      <w:r w:rsidR="009B5E5F">
        <w:rPr>
          <w:sz w:val="24"/>
          <w:szCs w:val="24"/>
        </w:rPr>
        <w:t>а</w:t>
      </w:r>
      <w:r w:rsidR="009B5E5F" w:rsidRPr="008F081F">
        <w:rPr>
          <w:sz w:val="24"/>
          <w:szCs w:val="24"/>
        </w:rPr>
        <w:t xml:space="preserve"> </w:t>
      </w:r>
      <w:r w:rsidRPr="008F081F">
        <w:rPr>
          <w:sz w:val="24"/>
          <w:szCs w:val="24"/>
        </w:rPr>
        <w:t xml:space="preserve">в рамках ОМС оказывается </w:t>
      </w:r>
      <w:proofErr w:type="gramStart"/>
      <w:r w:rsidRPr="008F081F">
        <w:rPr>
          <w:sz w:val="24"/>
          <w:szCs w:val="24"/>
        </w:rPr>
        <w:t>с</w:t>
      </w:r>
      <w:hyperlink r:id="rId7" w:history="1">
        <w:r w:rsidRPr="008F081F">
          <w:rPr>
            <w:sz w:val="24"/>
            <w:szCs w:val="24"/>
          </w:rPr>
          <w:t>пециализированная</w:t>
        </w:r>
        <w:proofErr w:type="gramEnd"/>
      </w:hyperlink>
      <w:r w:rsidR="008F435A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в том</w:t>
      </w:r>
      <w:r w:rsidRPr="008F081F">
        <w:rPr>
          <w:color w:val="FF0000"/>
          <w:sz w:val="24"/>
          <w:szCs w:val="24"/>
        </w:rPr>
        <w:t xml:space="preserve"> </w:t>
      </w:r>
      <w:r w:rsidRPr="008F081F">
        <w:rPr>
          <w:sz w:val="24"/>
          <w:szCs w:val="24"/>
        </w:rPr>
        <w:t>числе высокотехнологичная медицинская помощь</w:t>
      </w:r>
      <w:r w:rsidR="008F435A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включающая в себя профилактику</w:t>
      </w:r>
      <w:r w:rsidR="008F435A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диагностику и лечение заболеваний и состояний (в том числе в период беременности</w:t>
      </w:r>
      <w:r w:rsidR="008F435A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родов и послеродовой период)</w:t>
      </w:r>
      <w:r w:rsidR="008F435A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требующих использования специальных методов и сложных медицинских технологий</w:t>
      </w:r>
      <w:r w:rsidR="008F435A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а также медицинскую реабилитацию.</w:t>
      </w:r>
    </w:p>
    <w:p w:rsidR="004F6D1A" w:rsidRPr="008F081F" w:rsidRDefault="00DE1ACC" w:rsidP="004F6D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F081F">
        <w:rPr>
          <w:sz w:val="24"/>
          <w:szCs w:val="24"/>
        </w:rPr>
        <w:t>2.</w:t>
      </w:r>
      <w:r w:rsidR="004F6D1A" w:rsidRPr="008F081F">
        <w:rPr>
          <w:sz w:val="24"/>
          <w:szCs w:val="24"/>
        </w:rPr>
        <w:t xml:space="preserve"> Реестры счетов и счета на оплату медицинской помощи предоставляются в СМО, выдавшие полис ОМС. Идентификация застрахованных лиц, не имеющих в момент обращения за медицинской помощью полисов ОМС, производится в </w:t>
      </w:r>
      <w:proofErr w:type="gramStart"/>
      <w:r w:rsidR="004F6D1A" w:rsidRPr="008F081F">
        <w:rPr>
          <w:sz w:val="24"/>
          <w:szCs w:val="24"/>
        </w:rPr>
        <w:t>соответствии</w:t>
      </w:r>
      <w:proofErr w:type="gramEnd"/>
      <w:r w:rsidR="004F6D1A" w:rsidRPr="008F081F">
        <w:rPr>
          <w:sz w:val="24"/>
          <w:szCs w:val="24"/>
        </w:rPr>
        <w:t xml:space="preserve"> с действующим законодательством Российской Федерации.</w:t>
      </w:r>
    </w:p>
    <w:p w:rsidR="003C65A5" w:rsidRPr="003C65A5" w:rsidRDefault="004F6D1A" w:rsidP="00C843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 xml:space="preserve">Формирование персонифицированных сведений об оказанной </w:t>
      </w:r>
      <w:r w:rsidR="00C84324" w:rsidRPr="00B7125B">
        <w:rPr>
          <w:sz w:val="24"/>
          <w:szCs w:val="24"/>
        </w:rPr>
        <w:t xml:space="preserve">медицинской помощи МО производится в электронном виде с заполнением всех обязательных </w:t>
      </w:r>
      <w:r w:rsidR="00C84324" w:rsidRPr="003C65A5">
        <w:rPr>
          <w:sz w:val="24"/>
          <w:szCs w:val="24"/>
        </w:rPr>
        <w:t>полей согласно установленному Комиссией перечню обязательных полей реестров счетов для формирования персонифицированных сведений об оказании медицинской помощи.</w:t>
      </w:r>
    </w:p>
    <w:p w:rsidR="00D04F62" w:rsidRPr="008F081F" w:rsidRDefault="00DE1ACC" w:rsidP="00C84324">
      <w:pPr>
        <w:autoSpaceDE w:val="0"/>
        <w:autoSpaceDN w:val="0"/>
        <w:adjustRightInd w:val="0"/>
        <w:ind w:firstLine="709"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3</w:t>
      </w:r>
      <w:r w:rsidR="00D04F62" w:rsidRPr="008F081F">
        <w:rPr>
          <w:kern w:val="24"/>
          <w:sz w:val="24"/>
          <w:szCs w:val="24"/>
          <w:u w:color="000000"/>
          <w:bdr w:val="nil"/>
        </w:rPr>
        <w:t>. Формирование КСГ осуществляется с учетом сочетания диагноза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="00D04F62" w:rsidRPr="008F081F">
        <w:rPr>
          <w:kern w:val="24"/>
          <w:sz w:val="24"/>
          <w:szCs w:val="24"/>
          <w:u w:color="000000"/>
          <w:bdr w:val="nil"/>
        </w:rPr>
        <w:t xml:space="preserve"> операции и используемой медицинской технологии на основании кода основного (клинического) диагноза в соответствии со справочником МКБ 10 или по коду хирургической операции в соответствии с </w:t>
      </w:r>
      <w:hyperlink r:id="rId8" w:history="1">
        <w:r w:rsidR="00D04F62" w:rsidRPr="008F081F">
          <w:rPr>
            <w:kern w:val="24"/>
            <w:sz w:val="24"/>
            <w:szCs w:val="24"/>
            <w:u w:color="000000"/>
            <w:bdr w:val="nil"/>
          </w:rPr>
          <w:t>Номенклатурой</w:t>
        </w:r>
      </w:hyperlink>
      <w:r w:rsidR="00D04F62" w:rsidRPr="008F081F">
        <w:rPr>
          <w:kern w:val="24"/>
          <w:sz w:val="24"/>
          <w:szCs w:val="24"/>
          <w:u w:color="000000"/>
          <w:bdr w:val="nil"/>
        </w:rPr>
        <w:t xml:space="preserve"> медицинских услуг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="00D04F62" w:rsidRPr="008F081F">
        <w:rPr>
          <w:kern w:val="24"/>
          <w:sz w:val="24"/>
          <w:szCs w:val="24"/>
          <w:u w:color="000000"/>
          <w:bdr w:val="nil"/>
        </w:rPr>
        <w:t xml:space="preserve"> утвержденной приказом Министерства здравоохранения Российской Федерации от 13</w:t>
      </w:r>
      <w:r w:rsidR="00B21793" w:rsidRPr="008F081F">
        <w:rPr>
          <w:kern w:val="24"/>
          <w:sz w:val="24"/>
          <w:szCs w:val="24"/>
          <w:u w:color="000000"/>
          <w:bdr w:val="nil"/>
        </w:rPr>
        <w:t>.10.</w:t>
      </w:r>
      <w:r w:rsidR="00D04F62" w:rsidRPr="008F081F">
        <w:rPr>
          <w:kern w:val="24"/>
          <w:sz w:val="24"/>
          <w:szCs w:val="24"/>
          <w:u w:color="000000"/>
          <w:bdr w:val="nil"/>
        </w:rPr>
        <w:t>2017 года № 804н (далее – Номенклатура).</w:t>
      </w:r>
    </w:p>
    <w:p w:rsidR="00D04F62" w:rsidRPr="008F081F" w:rsidRDefault="00DE1ACC" w:rsidP="00D04F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proofErr w:type="gramStart"/>
      <w:r w:rsidRPr="008F081F">
        <w:rPr>
          <w:kern w:val="24"/>
          <w:sz w:val="24"/>
          <w:szCs w:val="24"/>
          <w:u w:color="000000"/>
          <w:bdr w:val="nil"/>
        </w:rPr>
        <w:t>3</w:t>
      </w:r>
      <w:r w:rsidR="00D61DD3" w:rsidRPr="008F081F">
        <w:rPr>
          <w:kern w:val="24"/>
          <w:sz w:val="24"/>
          <w:szCs w:val="24"/>
          <w:u w:color="000000"/>
          <w:bdr w:val="nil"/>
        </w:rPr>
        <w:t>.1</w:t>
      </w:r>
      <w:r w:rsidR="00D04F62" w:rsidRPr="008F081F">
        <w:rPr>
          <w:kern w:val="24"/>
          <w:sz w:val="24"/>
          <w:szCs w:val="24"/>
          <w:u w:color="000000"/>
          <w:bdr w:val="nil"/>
        </w:rPr>
        <w:t> КСГ подразделяются на следующие подгруппы: хирургические (включающие</w:t>
      </w:r>
      <w:proofErr w:type="gramEnd"/>
      <w:r w:rsidR="00D04F62" w:rsidRPr="008F081F">
        <w:rPr>
          <w:kern w:val="24"/>
          <w:sz w:val="24"/>
          <w:szCs w:val="24"/>
          <w:u w:color="000000"/>
          <w:bdr w:val="nil"/>
        </w:rPr>
        <w:t xml:space="preserve"> операции)</w:t>
      </w:r>
      <w:r w:rsidR="008537F5" w:rsidRPr="008F081F">
        <w:rPr>
          <w:kern w:val="24"/>
          <w:sz w:val="24"/>
          <w:szCs w:val="24"/>
          <w:u w:color="000000"/>
          <w:bdr w:val="nil"/>
        </w:rPr>
        <w:t xml:space="preserve">, </w:t>
      </w:r>
      <w:r w:rsidR="00D04F62" w:rsidRPr="008F081F">
        <w:rPr>
          <w:kern w:val="24"/>
          <w:sz w:val="24"/>
          <w:szCs w:val="24"/>
          <w:u w:color="000000"/>
          <w:bdr w:val="nil"/>
        </w:rPr>
        <w:t>терапевтические.</w:t>
      </w:r>
    </w:p>
    <w:p w:rsidR="00D04F62" w:rsidRPr="008F081F" w:rsidRDefault="00D04F62" w:rsidP="00D04F6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kern w:val="24"/>
          <w:sz w:val="24"/>
          <w:szCs w:val="24"/>
          <w:u w:color="000000"/>
          <w:bdr w:val="nil"/>
        </w:rPr>
      </w:pPr>
      <w:proofErr w:type="gramStart"/>
      <w:r w:rsidRPr="008F081F">
        <w:rPr>
          <w:kern w:val="24"/>
          <w:sz w:val="24"/>
          <w:szCs w:val="24"/>
          <w:u w:color="000000"/>
          <w:bdr w:val="nil"/>
        </w:rPr>
        <w:t>Группировка случаев заболеваний в КСГ осуществляется в соответствии с Методическими рекомендациями по способам оплаты медицинской помощи за счет средств обязательного медицинского страхования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направленными совместным письмом от </w:t>
      </w:r>
      <w:r w:rsidR="00D61DD3" w:rsidRPr="008F081F">
        <w:rPr>
          <w:kern w:val="24"/>
          <w:sz w:val="24"/>
          <w:szCs w:val="24"/>
          <w:u w:color="000000"/>
          <w:bdr w:val="nil"/>
        </w:rPr>
        <w:t xml:space="preserve">21.11.2018 </w:t>
      </w:r>
      <w:r w:rsidRPr="008F081F">
        <w:rPr>
          <w:kern w:val="24"/>
          <w:sz w:val="24"/>
          <w:szCs w:val="24"/>
          <w:u w:color="000000"/>
          <w:bdr w:val="nil"/>
        </w:rPr>
        <w:t xml:space="preserve">Министерства здравоохранения Российской Федерации </w:t>
      </w:r>
      <w:r w:rsidR="00D61DD3" w:rsidRPr="008F081F">
        <w:rPr>
          <w:kern w:val="24"/>
          <w:sz w:val="24"/>
          <w:szCs w:val="24"/>
          <w:u w:color="000000"/>
          <w:bdr w:val="nil"/>
        </w:rPr>
        <w:t>№ 11-7/10/2-7543</w:t>
      </w:r>
      <w:r w:rsidRPr="008F081F">
        <w:rPr>
          <w:kern w:val="24"/>
          <w:sz w:val="24"/>
          <w:szCs w:val="24"/>
          <w:u w:color="000000"/>
          <w:bdr w:val="nil"/>
        </w:rPr>
        <w:t xml:space="preserve"> и Федерального фонда обязательного медицинского страхования № </w:t>
      </w:r>
      <w:r w:rsidR="00D61DD3" w:rsidRPr="008F081F">
        <w:rPr>
          <w:kern w:val="24"/>
          <w:sz w:val="24"/>
          <w:szCs w:val="24"/>
          <w:u w:color="000000"/>
          <w:bdr w:val="nil"/>
        </w:rPr>
        <w:t xml:space="preserve">14525/26-1/и </w:t>
      </w:r>
      <w:r w:rsidRPr="008F081F">
        <w:rPr>
          <w:kern w:val="24"/>
          <w:sz w:val="24"/>
          <w:szCs w:val="24"/>
          <w:u w:color="000000"/>
          <w:bdr w:val="nil"/>
        </w:rPr>
        <w:t>(далее – Методические рекомендации)</w:t>
      </w:r>
      <w:r w:rsidR="008537F5" w:rsidRPr="008F081F">
        <w:rPr>
          <w:kern w:val="24"/>
          <w:sz w:val="24"/>
          <w:szCs w:val="24"/>
          <w:u w:color="000000"/>
          <w:bdr w:val="nil"/>
        </w:rPr>
        <w:t xml:space="preserve">, </w:t>
      </w:r>
      <w:r w:rsidRPr="008F081F">
        <w:rPr>
          <w:kern w:val="24"/>
          <w:sz w:val="24"/>
          <w:szCs w:val="24"/>
          <w:u w:color="000000"/>
          <w:bdr w:val="nil"/>
        </w:rPr>
        <w:t>по вышеперечисленным критериям в соответствии со Справочниками:</w:t>
      </w:r>
      <w:proofErr w:type="gramEnd"/>
      <w:r w:rsidRPr="008F081F">
        <w:rPr>
          <w:kern w:val="24"/>
          <w:sz w:val="24"/>
          <w:szCs w:val="24"/>
          <w:u w:color="000000"/>
          <w:bdr w:val="nil"/>
        </w:rPr>
        <w:t xml:space="preserve"> «КСГ»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«МКБ-10»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«Номенклатура»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«Схемы лекарственной терапии»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«</w:t>
      </w:r>
      <w:proofErr w:type="spellStart"/>
      <w:r w:rsidRPr="008F081F">
        <w:rPr>
          <w:kern w:val="24"/>
          <w:sz w:val="24"/>
          <w:szCs w:val="24"/>
          <w:u w:color="000000"/>
          <w:bdr w:val="nil"/>
        </w:rPr>
        <w:t>Группировщик</w:t>
      </w:r>
      <w:proofErr w:type="spellEnd"/>
      <w:r w:rsidRPr="008F081F">
        <w:rPr>
          <w:kern w:val="24"/>
          <w:sz w:val="24"/>
          <w:szCs w:val="24"/>
          <w:u w:color="000000"/>
          <w:bdr w:val="nil"/>
        </w:rPr>
        <w:t>»</w:t>
      </w:r>
      <w:r w:rsidR="008537F5" w:rsidRPr="008F081F">
        <w:rPr>
          <w:kern w:val="24"/>
          <w:sz w:val="24"/>
          <w:szCs w:val="24"/>
          <w:u w:color="000000"/>
          <w:bdr w:val="nil"/>
        </w:rPr>
        <w:t xml:space="preserve">, </w:t>
      </w:r>
      <w:r w:rsidRPr="008F081F">
        <w:rPr>
          <w:kern w:val="24"/>
          <w:sz w:val="24"/>
          <w:szCs w:val="24"/>
          <w:u w:color="000000"/>
          <w:bdr w:val="nil"/>
        </w:rPr>
        <w:t>«</w:t>
      </w:r>
      <w:proofErr w:type="spellStart"/>
      <w:r w:rsidRPr="008F081F">
        <w:rPr>
          <w:kern w:val="24"/>
          <w:sz w:val="24"/>
          <w:szCs w:val="24"/>
          <w:u w:color="000000"/>
          <w:bdr w:val="nil"/>
        </w:rPr>
        <w:t>Группировщик</w:t>
      </w:r>
      <w:proofErr w:type="spellEnd"/>
      <w:r w:rsidRPr="008F081F">
        <w:rPr>
          <w:kern w:val="24"/>
          <w:sz w:val="24"/>
          <w:szCs w:val="24"/>
          <w:u w:color="000000"/>
          <w:bdr w:val="nil"/>
        </w:rPr>
        <w:t xml:space="preserve"> </w:t>
      </w:r>
      <w:proofErr w:type="gramStart"/>
      <w:r w:rsidRPr="008F081F">
        <w:rPr>
          <w:kern w:val="24"/>
          <w:sz w:val="24"/>
          <w:szCs w:val="24"/>
          <w:u w:color="000000"/>
          <w:bdr w:val="nil"/>
        </w:rPr>
        <w:t>детальный</w:t>
      </w:r>
      <w:proofErr w:type="gramEnd"/>
      <w:r w:rsidRPr="008F081F">
        <w:rPr>
          <w:kern w:val="24"/>
          <w:sz w:val="24"/>
          <w:szCs w:val="24"/>
          <w:u w:color="000000"/>
          <w:bdr w:val="nil"/>
        </w:rPr>
        <w:t>»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«Оценка состояния пациента»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представленными в электронном виде (таблицы 1-</w:t>
      </w:r>
      <w:r w:rsidR="00CC7299" w:rsidRPr="008F081F">
        <w:rPr>
          <w:kern w:val="24"/>
          <w:sz w:val="24"/>
          <w:szCs w:val="24"/>
          <w:u w:color="000000"/>
          <w:bdr w:val="nil"/>
        </w:rPr>
        <w:t>8</w:t>
      </w:r>
      <w:r w:rsidRPr="008F081F">
        <w:rPr>
          <w:kern w:val="24"/>
          <w:sz w:val="24"/>
          <w:szCs w:val="24"/>
          <w:u w:color="000000"/>
          <w:bdr w:val="nil"/>
        </w:rPr>
        <w:t>).</w:t>
      </w:r>
    </w:p>
    <w:p w:rsidR="00D04F62" w:rsidRPr="008F081F" w:rsidRDefault="00D04F62" w:rsidP="00D04F6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Особенности формирования отдельных КСГ осуществляется в соответствии с Инструкцией по группировке случаев и правилами учета дополнительных классификационных критери</w:t>
      </w:r>
      <w:r w:rsidR="00427E9E" w:rsidRPr="008F081F">
        <w:rPr>
          <w:kern w:val="24"/>
          <w:sz w:val="24"/>
          <w:szCs w:val="24"/>
          <w:u w:color="000000"/>
          <w:bdr w:val="nil"/>
        </w:rPr>
        <w:t>ев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разработанными в дополнение к Методическим рекомендациям (далее – Инструкция).</w:t>
      </w:r>
    </w:p>
    <w:p w:rsidR="00D61DD3" w:rsidRPr="008F081F" w:rsidRDefault="00DE1ACC" w:rsidP="00D61D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3</w:t>
      </w:r>
      <w:r w:rsidR="00D04F62" w:rsidRPr="008F081F">
        <w:rPr>
          <w:kern w:val="24"/>
          <w:sz w:val="24"/>
          <w:szCs w:val="24"/>
          <w:u w:color="000000"/>
          <w:bdr w:val="nil"/>
        </w:rPr>
        <w:t xml:space="preserve">.2. Формирование КСГ осуществляется на основе совокупности следующих </w:t>
      </w:r>
      <w:r w:rsidR="00F927EE" w:rsidRPr="008F081F">
        <w:rPr>
          <w:kern w:val="24"/>
          <w:sz w:val="24"/>
          <w:szCs w:val="24"/>
          <w:u w:color="000000"/>
          <w:bdr w:val="nil"/>
        </w:rPr>
        <w:t>п</w:t>
      </w:r>
      <w:r w:rsidR="009D52F4" w:rsidRPr="008F081F">
        <w:rPr>
          <w:kern w:val="24"/>
          <w:sz w:val="24"/>
          <w:szCs w:val="24"/>
          <w:u w:color="000000"/>
          <w:bdr w:val="nil"/>
        </w:rPr>
        <w:t>ар</w:t>
      </w:r>
      <w:r w:rsidR="00F927EE" w:rsidRPr="008F081F">
        <w:rPr>
          <w:kern w:val="24"/>
          <w:sz w:val="24"/>
          <w:szCs w:val="24"/>
          <w:u w:color="000000"/>
          <w:bdr w:val="nil"/>
        </w:rPr>
        <w:t xml:space="preserve">аметров, определяющих </w:t>
      </w:r>
      <w:proofErr w:type="gramStart"/>
      <w:r w:rsidR="00F927EE" w:rsidRPr="008F081F">
        <w:rPr>
          <w:kern w:val="24"/>
          <w:sz w:val="24"/>
          <w:szCs w:val="24"/>
          <w:u w:color="000000"/>
          <w:bdr w:val="nil"/>
        </w:rPr>
        <w:t>относительную</w:t>
      </w:r>
      <w:proofErr w:type="gramEnd"/>
      <w:r w:rsidR="00F927EE" w:rsidRPr="008F081F">
        <w:rPr>
          <w:kern w:val="24"/>
          <w:sz w:val="24"/>
          <w:szCs w:val="24"/>
          <w:u w:color="000000"/>
          <w:bdr w:val="nil"/>
        </w:rPr>
        <w:t xml:space="preserve"> </w:t>
      </w:r>
      <w:proofErr w:type="spellStart"/>
      <w:r w:rsidR="00F927EE" w:rsidRPr="008F081F">
        <w:rPr>
          <w:kern w:val="24"/>
          <w:sz w:val="24"/>
          <w:szCs w:val="24"/>
          <w:u w:color="000000"/>
          <w:bdr w:val="nil"/>
        </w:rPr>
        <w:t>затратоемкость</w:t>
      </w:r>
      <w:proofErr w:type="spellEnd"/>
      <w:r w:rsidR="00F927EE" w:rsidRPr="008F081F">
        <w:rPr>
          <w:kern w:val="24"/>
          <w:sz w:val="24"/>
          <w:szCs w:val="24"/>
          <w:u w:color="000000"/>
          <w:bdr w:val="nil"/>
        </w:rPr>
        <w:t xml:space="preserve"> лечения пациентов (классификационных критериев)</w:t>
      </w:r>
      <w:r w:rsidR="00D61DD3" w:rsidRPr="008F081F">
        <w:rPr>
          <w:kern w:val="24"/>
          <w:sz w:val="24"/>
          <w:szCs w:val="24"/>
          <w:u w:color="000000"/>
          <w:bdr w:val="nil"/>
        </w:rPr>
        <w:t>:</w:t>
      </w:r>
    </w:p>
    <w:p w:rsidR="00D04F62" w:rsidRPr="008F081F" w:rsidRDefault="00D04F62" w:rsidP="00D04F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 xml:space="preserve">- диагноз </w:t>
      </w:r>
      <w:r w:rsidR="002231A9" w:rsidRPr="008F081F">
        <w:rPr>
          <w:kern w:val="24"/>
          <w:sz w:val="24"/>
          <w:szCs w:val="24"/>
          <w:u w:color="000000"/>
          <w:bdr w:val="nil"/>
        </w:rPr>
        <w:t xml:space="preserve">(код </w:t>
      </w:r>
      <w:r w:rsidRPr="008F081F">
        <w:rPr>
          <w:kern w:val="24"/>
          <w:sz w:val="24"/>
          <w:szCs w:val="24"/>
          <w:u w:color="000000"/>
          <w:bdr w:val="nil"/>
        </w:rPr>
        <w:t xml:space="preserve">по </w:t>
      </w:r>
      <w:hyperlink r:id="rId9" w:history="1">
        <w:r w:rsidRPr="008F081F">
          <w:rPr>
            <w:kern w:val="24"/>
            <w:sz w:val="24"/>
            <w:szCs w:val="24"/>
            <w:u w:color="000000"/>
            <w:bdr w:val="nil"/>
          </w:rPr>
          <w:t>МКБ</w:t>
        </w:r>
        <w:r w:rsidR="002231A9" w:rsidRPr="008F081F">
          <w:rPr>
            <w:kern w:val="24"/>
            <w:sz w:val="24"/>
            <w:szCs w:val="24"/>
            <w:u w:color="000000"/>
            <w:bdr w:val="nil"/>
          </w:rPr>
          <w:t xml:space="preserve"> </w:t>
        </w:r>
        <w:r w:rsidRPr="008F081F">
          <w:rPr>
            <w:kern w:val="24"/>
            <w:sz w:val="24"/>
            <w:szCs w:val="24"/>
            <w:u w:color="000000"/>
            <w:bdr w:val="nil"/>
          </w:rPr>
          <w:t>10</w:t>
        </w:r>
      </w:hyperlink>
      <w:r w:rsidR="002231A9" w:rsidRPr="008F081F">
        <w:rPr>
          <w:kern w:val="24"/>
          <w:sz w:val="24"/>
          <w:szCs w:val="24"/>
          <w:u w:color="000000"/>
          <w:bdr w:val="nil"/>
        </w:rPr>
        <w:t>)</w:t>
      </w:r>
      <w:r w:rsidRPr="008F081F">
        <w:rPr>
          <w:kern w:val="24"/>
          <w:sz w:val="24"/>
          <w:szCs w:val="24"/>
          <w:u w:color="000000"/>
          <w:bdr w:val="nil"/>
        </w:rPr>
        <w:t>;</w:t>
      </w:r>
    </w:p>
    <w:p w:rsidR="002231A9" w:rsidRPr="008F081F" w:rsidRDefault="00D04F62" w:rsidP="00D04F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- </w:t>
      </w:r>
      <w:r w:rsidR="002231A9" w:rsidRPr="008F081F">
        <w:rPr>
          <w:kern w:val="24"/>
          <w:sz w:val="24"/>
          <w:szCs w:val="24"/>
          <w:u w:color="000000"/>
          <w:bdr w:val="nil"/>
        </w:rPr>
        <w:t xml:space="preserve">хирургическая операция и/или другая применяемая медицинская технология (код в </w:t>
      </w:r>
      <w:proofErr w:type="gramStart"/>
      <w:r w:rsidR="002231A9" w:rsidRPr="008F081F">
        <w:rPr>
          <w:kern w:val="24"/>
          <w:sz w:val="24"/>
          <w:szCs w:val="24"/>
          <w:u w:color="000000"/>
          <w:bdr w:val="nil"/>
        </w:rPr>
        <w:t>соответствии</w:t>
      </w:r>
      <w:proofErr w:type="gramEnd"/>
      <w:r w:rsidR="002231A9" w:rsidRPr="008F081F">
        <w:rPr>
          <w:kern w:val="24"/>
          <w:sz w:val="24"/>
          <w:szCs w:val="24"/>
          <w:u w:color="000000"/>
          <w:bdr w:val="nil"/>
        </w:rPr>
        <w:t xml:space="preserve"> с Номенклатурой);</w:t>
      </w:r>
    </w:p>
    <w:p w:rsidR="002231A9" w:rsidRPr="008F081F" w:rsidRDefault="002231A9" w:rsidP="00D04F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 xml:space="preserve">- схема </w:t>
      </w:r>
      <w:r w:rsidR="00D61DD3" w:rsidRPr="008F081F">
        <w:rPr>
          <w:kern w:val="24"/>
          <w:sz w:val="24"/>
          <w:szCs w:val="24"/>
          <w:u w:color="000000"/>
          <w:bdr w:val="nil"/>
        </w:rPr>
        <w:t>лекарственной терапии</w:t>
      </w:r>
      <w:r w:rsidRPr="008F081F">
        <w:rPr>
          <w:kern w:val="24"/>
          <w:sz w:val="24"/>
          <w:szCs w:val="24"/>
          <w:u w:color="000000"/>
          <w:bdr w:val="nil"/>
        </w:rPr>
        <w:t>;</w:t>
      </w:r>
    </w:p>
    <w:p w:rsidR="00D61DD3" w:rsidRPr="008F081F" w:rsidRDefault="00D61DD3" w:rsidP="00D04F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lastRenderedPageBreak/>
        <w:t>- МНН лекарственного препарата;</w:t>
      </w:r>
    </w:p>
    <w:p w:rsidR="002231A9" w:rsidRPr="008F081F" w:rsidRDefault="002231A9" w:rsidP="00D04F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- возрастная категория пациента;</w:t>
      </w:r>
    </w:p>
    <w:p w:rsidR="002231A9" w:rsidRPr="008F081F" w:rsidRDefault="002231A9" w:rsidP="00D04F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- сопутствующий диагноз или осложнения заболевания (код по МКБ 10);</w:t>
      </w:r>
    </w:p>
    <w:p w:rsidR="002231A9" w:rsidRPr="008F081F" w:rsidRDefault="002231A9" w:rsidP="00D04F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- оценка состояния пациента по шкалам (шкала оценки огранной недостаточности у пациентов, находящихся на интенсивной терапии (</w:t>
      </w:r>
      <w:r w:rsidRPr="008F081F">
        <w:rPr>
          <w:kern w:val="24"/>
          <w:sz w:val="24"/>
          <w:szCs w:val="24"/>
          <w:u w:color="000000"/>
          <w:bdr w:val="nil"/>
          <w:lang w:val="en-US"/>
        </w:rPr>
        <w:t>SOFA</w:t>
      </w:r>
      <w:r w:rsidRPr="008F081F">
        <w:rPr>
          <w:kern w:val="24"/>
          <w:sz w:val="24"/>
          <w:szCs w:val="24"/>
          <w:u w:color="000000"/>
          <w:bdr w:val="nil"/>
        </w:rPr>
        <w:t>), шкала оценки органной недостаточности у пациентов детского возраста, находящихся на интенсивной терапии (</w:t>
      </w:r>
      <w:proofErr w:type="spellStart"/>
      <w:r w:rsidRPr="008F081F">
        <w:rPr>
          <w:kern w:val="24"/>
          <w:sz w:val="24"/>
          <w:szCs w:val="24"/>
          <w:u w:color="000000"/>
          <w:bdr w:val="nil"/>
          <w:lang w:val="en-US"/>
        </w:rPr>
        <w:t>pSOFA</w:t>
      </w:r>
      <w:proofErr w:type="spellEnd"/>
      <w:r w:rsidRPr="008F081F">
        <w:rPr>
          <w:kern w:val="24"/>
          <w:sz w:val="24"/>
          <w:szCs w:val="24"/>
          <w:u w:color="000000"/>
          <w:bdr w:val="nil"/>
        </w:rPr>
        <w:t>), шкала реабилитационной маршрутизации);</w:t>
      </w:r>
    </w:p>
    <w:p w:rsidR="002231A9" w:rsidRPr="008F081F" w:rsidRDefault="002231A9" w:rsidP="002231A9">
      <w:pPr>
        <w:ind w:left="720" w:hanging="11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- длительность непрерывного проведения искусственной вентиляции легких;</w:t>
      </w:r>
    </w:p>
    <w:p w:rsidR="00B0071C" w:rsidRPr="008F081F" w:rsidRDefault="002231A9" w:rsidP="00B0071C">
      <w:pPr>
        <w:ind w:left="720" w:hanging="11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- </w:t>
      </w:r>
      <w:r w:rsidR="00B0071C" w:rsidRPr="008F081F">
        <w:rPr>
          <w:kern w:val="24"/>
          <w:sz w:val="24"/>
          <w:szCs w:val="24"/>
          <w:u w:color="000000"/>
          <w:bdr w:val="nil"/>
        </w:rPr>
        <w:t>количество дней проведения лучевой терапии (фракций);</w:t>
      </w:r>
    </w:p>
    <w:p w:rsidR="002231A9" w:rsidRPr="008F081F" w:rsidRDefault="00B0071C" w:rsidP="002231A9">
      <w:pPr>
        <w:ind w:left="720" w:hanging="11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- пол пациента;</w:t>
      </w:r>
    </w:p>
    <w:p w:rsidR="00B0071C" w:rsidRPr="008F081F" w:rsidRDefault="00B0071C" w:rsidP="002231A9">
      <w:pPr>
        <w:ind w:left="720" w:hanging="11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- длительность лечения.</w:t>
      </w:r>
    </w:p>
    <w:p w:rsidR="00D04F62" w:rsidRPr="008F081F" w:rsidRDefault="00D04F62" w:rsidP="00D04F62">
      <w:pPr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 xml:space="preserve">Для оплаты случая лечения по КСГ в </w:t>
      </w:r>
      <w:proofErr w:type="gramStart"/>
      <w:r w:rsidRPr="008F081F">
        <w:rPr>
          <w:kern w:val="24"/>
          <w:sz w:val="24"/>
          <w:szCs w:val="24"/>
          <w:u w:color="000000"/>
          <w:bdr w:val="nil"/>
        </w:rPr>
        <w:t>качестве</w:t>
      </w:r>
      <w:proofErr w:type="gramEnd"/>
      <w:r w:rsidRPr="008F081F">
        <w:rPr>
          <w:kern w:val="24"/>
          <w:sz w:val="24"/>
          <w:szCs w:val="24"/>
          <w:u w:color="000000"/>
          <w:bdr w:val="nil"/>
        </w:rPr>
        <w:t xml:space="preserve"> основного</w:t>
      </w:r>
      <w:r w:rsidR="00D61DD3" w:rsidRPr="008F081F">
        <w:rPr>
          <w:kern w:val="24"/>
          <w:sz w:val="24"/>
          <w:szCs w:val="24"/>
          <w:u w:color="000000"/>
          <w:bdr w:val="nil"/>
        </w:rPr>
        <w:t xml:space="preserve"> </w:t>
      </w:r>
      <w:r w:rsidRPr="008F081F">
        <w:rPr>
          <w:kern w:val="24"/>
          <w:sz w:val="24"/>
          <w:szCs w:val="24"/>
          <w:u w:color="000000"/>
          <w:bdr w:val="nil"/>
        </w:rPr>
        <w:t>диагноза указывается код по МКБ 10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являющийся основным поводом к госпитализации. </w:t>
      </w:r>
    </w:p>
    <w:p w:rsidR="00D04F62" w:rsidRPr="008F081F" w:rsidRDefault="00D04F62" w:rsidP="00D04F62">
      <w:pPr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При наличии хирургических операций и (или) других применяемых медицинских технологий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являющихся классификационным критерием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отнесение случая лечения </w:t>
      </w:r>
      <w:proofErr w:type="gramStart"/>
      <w:r w:rsidRPr="008F081F">
        <w:rPr>
          <w:kern w:val="24"/>
          <w:sz w:val="24"/>
          <w:szCs w:val="24"/>
          <w:u w:color="000000"/>
          <w:bdr w:val="nil"/>
        </w:rPr>
        <w:t>к</w:t>
      </w:r>
      <w:proofErr w:type="gramEnd"/>
      <w:r w:rsidRPr="008F081F">
        <w:rPr>
          <w:kern w:val="24"/>
          <w:sz w:val="24"/>
          <w:szCs w:val="24"/>
          <w:u w:color="000000"/>
          <w:bdr w:val="nil"/>
        </w:rPr>
        <w:t xml:space="preserve"> конкретной КСГ осуществляется в соответствии с кодом Номенклатуры.</w:t>
      </w:r>
    </w:p>
    <w:p w:rsidR="00D04F62" w:rsidRPr="008F081F" w:rsidRDefault="00D04F62" w:rsidP="00D04F62">
      <w:pPr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При наличии нескольких хирургических операций и (или) применяемых медицинских технологий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являющихся классификационными критериями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оплата осуществляется по КСГ</w:t>
      </w:r>
      <w:r w:rsidR="008537F5" w:rsidRPr="008F081F">
        <w:rPr>
          <w:kern w:val="24"/>
          <w:sz w:val="24"/>
          <w:szCs w:val="24"/>
          <w:u w:color="000000"/>
          <w:bdr w:val="nil"/>
        </w:rPr>
        <w:t>,</w:t>
      </w:r>
      <w:r w:rsidRPr="008F081F">
        <w:rPr>
          <w:kern w:val="24"/>
          <w:sz w:val="24"/>
          <w:szCs w:val="24"/>
          <w:u w:color="000000"/>
          <w:bdr w:val="nil"/>
        </w:rPr>
        <w:t xml:space="preserve"> которая имеет наиболее высокий коэффициент относительной </w:t>
      </w:r>
      <w:proofErr w:type="spellStart"/>
      <w:r w:rsidRPr="008F081F">
        <w:rPr>
          <w:kern w:val="24"/>
          <w:sz w:val="24"/>
          <w:szCs w:val="24"/>
          <w:u w:color="000000"/>
          <w:bdr w:val="nil"/>
        </w:rPr>
        <w:t>затратоемкости</w:t>
      </w:r>
      <w:proofErr w:type="spellEnd"/>
      <w:r w:rsidRPr="008F081F">
        <w:rPr>
          <w:kern w:val="24"/>
          <w:sz w:val="24"/>
          <w:szCs w:val="24"/>
          <w:u w:color="000000"/>
          <w:bdr w:val="nil"/>
        </w:rPr>
        <w:t xml:space="preserve">. 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8F081F">
        <w:rPr>
          <w:sz w:val="24"/>
          <w:szCs w:val="24"/>
        </w:rPr>
        <w:t>В случае перевода пациента из одного отделения медицинской организации в другое в рамках круглосуточного стационара</w:t>
      </w:r>
      <w:r w:rsidR="008537F5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если это обусловлено возникновением (наличием) нового заболевания или состояния</w:t>
      </w:r>
      <w:r w:rsidR="008537F5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входящего в другой класс МКБ-10 и не являющегося следствием закономерного прогрессирования основного заболевания</w:t>
      </w:r>
      <w:r w:rsidR="008537F5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внутрибольничной инфекции или осложнением основного заболевания</w:t>
      </w:r>
      <w:r w:rsidR="008537F5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а также при переводе пациента из одной медицинской организации в другую</w:t>
      </w:r>
      <w:r w:rsidR="008537F5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оба случая лечения заболевания подлежат 100</w:t>
      </w:r>
      <w:proofErr w:type="gramEnd"/>
      <w:r w:rsidRPr="008F081F">
        <w:rPr>
          <w:sz w:val="24"/>
          <w:szCs w:val="24"/>
        </w:rPr>
        <w:t>%-</w:t>
      </w:r>
      <w:proofErr w:type="gramStart"/>
      <w:r w:rsidRPr="008F081F">
        <w:rPr>
          <w:sz w:val="24"/>
          <w:szCs w:val="24"/>
        </w:rPr>
        <w:t>ой</w:t>
      </w:r>
      <w:proofErr w:type="gramEnd"/>
      <w:r w:rsidRPr="008F081F">
        <w:rPr>
          <w:sz w:val="24"/>
          <w:szCs w:val="24"/>
        </w:rPr>
        <w:t xml:space="preserve"> оплате в рамках соответствующих КСГ</w:t>
      </w:r>
      <w:r w:rsidR="008537F5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за исключением сверхкоротких случаев. При этом если перевод производится в пределах одной медицинской организации</w:t>
      </w:r>
      <w:r w:rsidR="008537F5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а заболевания относятся к одному классу МКБ-10</w:t>
      </w:r>
      <w:r w:rsidR="008537F5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оплата производится в рамках одного случая лечения по КСГ с наибольшим размером оплаты.</w:t>
      </w:r>
    </w:p>
    <w:p w:rsidR="00D04F62" w:rsidRPr="008F081F" w:rsidRDefault="00D04F62" w:rsidP="00D04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81F">
        <w:rPr>
          <w:rFonts w:ascii="Times New Roman" w:hAnsi="Times New Roman" w:cs="Times New Roman"/>
          <w:sz w:val="24"/>
          <w:szCs w:val="24"/>
        </w:rPr>
        <w:t xml:space="preserve">Оплата по двум КСГ осуществляется в следующих </w:t>
      </w:r>
      <w:proofErr w:type="gramStart"/>
      <w:r w:rsidRPr="008F081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F081F">
        <w:rPr>
          <w:rFonts w:ascii="Times New Roman" w:hAnsi="Times New Roman" w:cs="Times New Roman"/>
          <w:sz w:val="24"/>
          <w:szCs w:val="24"/>
        </w:rPr>
        <w:t xml:space="preserve"> лечения в одной медицинской организации по заболеваниям</w:t>
      </w:r>
      <w:r w:rsidR="00112C1B" w:rsidRPr="008F081F">
        <w:rPr>
          <w:rFonts w:ascii="Times New Roman" w:hAnsi="Times New Roman" w:cs="Times New Roman"/>
          <w:sz w:val="24"/>
          <w:szCs w:val="24"/>
        </w:rPr>
        <w:t xml:space="preserve">, </w:t>
      </w:r>
      <w:r w:rsidRPr="008F081F">
        <w:rPr>
          <w:rFonts w:ascii="Times New Roman" w:hAnsi="Times New Roman" w:cs="Times New Roman"/>
          <w:sz w:val="24"/>
          <w:szCs w:val="24"/>
        </w:rPr>
        <w:t>относящимся к одному классу МКБ:</w:t>
      </w:r>
    </w:p>
    <w:p w:rsidR="00D04F62" w:rsidRPr="008F081F" w:rsidRDefault="00D04F62" w:rsidP="00D04F62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1F">
        <w:rPr>
          <w:rFonts w:ascii="Times New Roman" w:hAnsi="Times New Roman" w:cs="Times New Roman"/>
          <w:sz w:val="24"/>
          <w:szCs w:val="24"/>
        </w:rPr>
        <w:t>проведение медицинской реабилитации пациента после завершения лечения в той же медицинской организации по поводу заболевания</w:t>
      </w:r>
      <w:r w:rsidR="00112C1B" w:rsidRPr="008F081F">
        <w:rPr>
          <w:rFonts w:ascii="Times New Roman" w:hAnsi="Times New Roman" w:cs="Times New Roman"/>
          <w:sz w:val="24"/>
          <w:szCs w:val="24"/>
        </w:rPr>
        <w:t>,</w:t>
      </w:r>
      <w:r w:rsidRPr="008F081F">
        <w:rPr>
          <w:rFonts w:ascii="Times New Roman" w:hAnsi="Times New Roman" w:cs="Times New Roman"/>
          <w:sz w:val="24"/>
          <w:szCs w:val="24"/>
        </w:rPr>
        <w:t xml:space="preserve"> по которому осуществлялось лечение;</w:t>
      </w:r>
    </w:p>
    <w:p w:rsidR="00D04F62" w:rsidRDefault="00D04F62" w:rsidP="00D04F62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1F">
        <w:rPr>
          <w:rFonts w:ascii="Times New Roman" w:hAnsi="Times New Roman" w:cs="Times New Roman"/>
          <w:sz w:val="24"/>
          <w:szCs w:val="24"/>
        </w:rPr>
        <w:t>дородовая госпитализация пациентки в отделение патологии беременности в случае пребывания в отделении патологии беременности в течение 6 дней и более (за исключением случаев</w:t>
      </w:r>
      <w:r w:rsidR="00112C1B" w:rsidRPr="008F081F">
        <w:rPr>
          <w:rFonts w:ascii="Times New Roman" w:hAnsi="Times New Roman" w:cs="Times New Roman"/>
          <w:sz w:val="24"/>
          <w:szCs w:val="24"/>
        </w:rPr>
        <w:t>,</w:t>
      </w:r>
      <w:r w:rsidRPr="008F081F">
        <w:rPr>
          <w:rFonts w:ascii="Times New Roman" w:hAnsi="Times New Roman" w:cs="Times New Roman"/>
          <w:sz w:val="24"/>
          <w:szCs w:val="24"/>
        </w:rPr>
        <w:t xml:space="preserve"> представленных в Инструкции</w:t>
      </w:r>
      <w:r w:rsidR="00E942CE">
        <w:rPr>
          <w:rFonts w:ascii="Times New Roman" w:hAnsi="Times New Roman" w:cs="Times New Roman"/>
          <w:sz w:val="24"/>
          <w:szCs w:val="24"/>
        </w:rPr>
        <w:t xml:space="preserve">) с последующим </w:t>
      </w:r>
      <w:proofErr w:type="spellStart"/>
      <w:r w:rsidR="00E942CE">
        <w:rPr>
          <w:rFonts w:ascii="Times New Roman" w:hAnsi="Times New Roman" w:cs="Times New Roman"/>
          <w:sz w:val="24"/>
          <w:szCs w:val="24"/>
        </w:rPr>
        <w:t>родоразрешением</w:t>
      </w:r>
      <w:proofErr w:type="spellEnd"/>
      <w:r w:rsidR="00E942CE">
        <w:rPr>
          <w:rFonts w:ascii="Times New Roman" w:hAnsi="Times New Roman" w:cs="Times New Roman"/>
          <w:sz w:val="24"/>
          <w:szCs w:val="24"/>
        </w:rPr>
        <w:t>;</w:t>
      </w:r>
    </w:p>
    <w:p w:rsidR="00E942CE" w:rsidRPr="003C65A5" w:rsidRDefault="00E942CE" w:rsidP="00E942CE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5A5">
        <w:rPr>
          <w:rFonts w:ascii="Times New Roman" w:hAnsi="Times New Roman" w:cs="Times New Roman"/>
          <w:sz w:val="24"/>
          <w:szCs w:val="24"/>
        </w:rPr>
        <w:t>случаи оказания медицинской помощи, связанные с установкой, заменой порт 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E942CE" w:rsidRPr="003C65A5" w:rsidRDefault="00E942CE" w:rsidP="00E942CE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5A5">
        <w:rPr>
          <w:rFonts w:ascii="Times New Roman" w:hAnsi="Times New Roman" w:cs="Times New Roman"/>
          <w:sz w:val="24"/>
          <w:szCs w:val="24"/>
        </w:rPr>
        <w:t>этапное хирургическое лечение при злокачественных новообразованиях, не предусматривающее выписку пациента из стационара.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При этом если один из случаев лечения является прерванным</w:t>
      </w:r>
      <w:r w:rsidR="00112C1B" w:rsidRPr="008F081F">
        <w:rPr>
          <w:sz w:val="24"/>
          <w:szCs w:val="24"/>
        </w:rPr>
        <w:t xml:space="preserve">, </w:t>
      </w:r>
      <w:r w:rsidRPr="008F081F">
        <w:rPr>
          <w:sz w:val="24"/>
          <w:szCs w:val="24"/>
        </w:rPr>
        <w:t>его оплата осуществляется в соответствии с установленными правилами.</w:t>
      </w:r>
    </w:p>
    <w:p w:rsidR="00D04F62" w:rsidRPr="008F081F" w:rsidRDefault="00D04F62" w:rsidP="00D04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3.3. Расчет стоимости законченного случая лечения в рамках системы КСГ – заболеваний осуществляется на основе следующих экономических параметров:</w:t>
      </w:r>
    </w:p>
    <w:p w:rsidR="00D04F62" w:rsidRPr="008F081F" w:rsidRDefault="00D04F62" w:rsidP="00D04F62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8F081F">
        <w:rPr>
          <w:rFonts w:eastAsia="Calibri"/>
          <w:sz w:val="24"/>
          <w:szCs w:val="24"/>
        </w:rPr>
        <w:t>1) Базовая ставка финансирования медицинской помощи (БС);</w:t>
      </w:r>
    </w:p>
    <w:p w:rsidR="00D04F62" w:rsidRPr="008F081F" w:rsidRDefault="00D04F62" w:rsidP="00D04F62">
      <w:pPr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rFonts w:eastAsia="Calibri"/>
          <w:sz w:val="24"/>
          <w:szCs w:val="24"/>
        </w:rPr>
        <w:t>2) К</w:t>
      </w:r>
      <w:r w:rsidRPr="008F081F">
        <w:rPr>
          <w:kern w:val="24"/>
          <w:sz w:val="24"/>
          <w:szCs w:val="24"/>
          <w:u w:color="000000"/>
          <w:bdr w:val="nil"/>
        </w:rPr>
        <w:t xml:space="preserve">оэффициент </w:t>
      </w:r>
      <w:proofErr w:type="gramStart"/>
      <w:r w:rsidRPr="008F081F">
        <w:rPr>
          <w:kern w:val="24"/>
          <w:sz w:val="24"/>
          <w:szCs w:val="24"/>
          <w:u w:color="000000"/>
          <w:bdr w:val="nil"/>
        </w:rPr>
        <w:t>относительной</w:t>
      </w:r>
      <w:proofErr w:type="gramEnd"/>
      <w:r w:rsidRPr="008F081F">
        <w:rPr>
          <w:kern w:val="24"/>
          <w:sz w:val="24"/>
          <w:szCs w:val="24"/>
          <w:u w:color="000000"/>
          <w:bdr w:val="nil"/>
        </w:rPr>
        <w:t xml:space="preserve"> </w:t>
      </w:r>
      <w:proofErr w:type="spellStart"/>
      <w:r w:rsidRPr="008F081F">
        <w:rPr>
          <w:kern w:val="24"/>
          <w:sz w:val="24"/>
          <w:szCs w:val="24"/>
          <w:u w:color="000000"/>
          <w:bdr w:val="nil"/>
        </w:rPr>
        <w:t>затратоемкости</w:t>
      </w:r>
      <w:proofErr w:type="spellEnd"/>
      <w:r w:rsidRPr="008F081F">
        <w:rPr>
          <w:kern w:val="24"/>
          <w:sz w:val="24"/>
          <w:szCs w:val="24"/>
          <w:u w:color="000000"/>
          <w:bdr w:val="nil"/>
        </w:rPr>
        <w:t xml:space="preserve"> (</w:t>
      </w:r>
      <w:proofErr w:type="spellStart"/>
      <w:r w:rsidRPr="008F081F">
        <w:rPr>
          <w:kern w:val="24"/>
          <w:sz w:val="24"/>
          <w:szCs w:val="24"/>
          <w:u w:color="000000"/>
          <w:bdr w:val="nil"/>
        </w:rPr>
        <w:t>КЗксг</w:t>
      </w:r>
      <w:proofErr w:type="spellEnd"/>
      <w:r w:rsidRPr="008F081F">
        <w:rPr>
          <w:kern w:val="24"/>
          <w:sz w:val="24"/>
          <w:szCs w:val="24"/>
          <w:u w:color="000000"/>
          <w:bdr w:val="nil"/>
        </w:rPr>
        <w:t>);</w:t>
      </w:r>
    </w:p>
    <w:p w:rsidR="00D04F62" w:rsidRPr="008F081F" w:rsidRDefault="00D04F62" w:rsidP="00D04F62">
      <w:pPr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3) Поправочные коэффициенты оплаты КСГ:</w:t>
      </w:r>
    </w:p>
    <w:p w:rsidR="00D04F62" w:rsidRPr="008F081F" w:rsidRDefault="00D04F62" w:rsidP="00D04F62">
      <w:pPr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- управленческий коэффициент (</w:t>
      </w:r>
      <w:proofErr w:type="spellStart"/>
      <w:r w:rsidRPr="008F081F">
        <w:rPr>
          <w:kern w:val="24"/>
          <w:sz w:val="24"/>
          <w:szCs w:val="24"/>
          <w:u w:color="000000"/>
          <w:bdr w:val="nil"/>
        </w:rPr>
        <w:t>КУксг</w:t>
      </w:r>
      <w:proofErr w:type="spellEnd"/>
      <w:r w:rsidRPr="008F081F">
        <w:rPr>
          <w:kern w:val="24"/>
          <w:sz w:val="24"/>
          <w:szCs w:val="24"/>
          <w:u w:color="000000"/>
          <w:bdr w:val="nil"/>
        </w:rPr>
        <w:t>);</w:t>
      </w:r>
    </w:p>
    <w:p w:rsidR="00D04F62" w:rsidRPr="008F081F" w:rsidRDefault="00D04F62" w:rsidP="00D04F62">
      <w:pPr>
        <w:ind w:firstLine="709"/>
        <w:contextualSpacing/>
        <w:jc w:val="both"/>
        <w:rPr>
          <w:sz w:val="24"/>
          <w:szCs w:val="24"/>
        </w:rPr>
      </w:pPr>
      <w:r w:rsidRPr="008F081F">
        <w:rPr>
          <w:sz w:val="24"/>
          <w:szCs w:val="24"/>
        </w:rPr>
        <w:t>- коэффициент уровня и подуровня оказания стационарной медицинской помощи (</w:t>
      </w:r>
      <w:proofErr w:type="spellStart"/>
      <w:r w:rsidRPr="008F081F">
        <w:rPr>
          <w:sz w:val="24"/>
          <w:szCs w:val="24"/>
        </w:rPr>
        <w:t>КПУСмо</w:t>
      </w:r>
      <w:proofErr w:type="spellEnd"/>
      <w:r w:rsidRPr="008F081F">
        <w:rPr>
          <w:sz w:val="24"/>
          <w:szCs w:val="24"/>
        </w:rPr>
        <w:t>);</w:t>
      </w:r>
    </w:p>
    <w:p w:rsidR="00D04F62" w:rsidRPr="008F081F" w:rsidRDefault="00D04F62" w:rsidP="00D04F62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8F081F">
        <w:rPr>
          <w:rFonts w:eastAsia="Calibri"/>
          <w:sz w:val="24"/>
          <w:szCs w:val="24"/>
        </w:rPr>
        <w:t>- коэффициент сложности лечения пациента (КСЛП).</w:t>
      </w:r>
    </w:p>
    <w:p w:rsidR="00D04F62" w:rsidRPr="008F081F" w:rsidRDefault="00D04F62" w:rsidP="00D04F62">
      <w:pPr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>Размер базовой ставки финансирования стационарной медицинской помощи (БС) установлен в п.3.4.3 Тарифного соглашения.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lastRenderedPageBreak/>
        <w:t xml:space="preserve">Коэффициент относительной </w:t>
      </w:r>
      <w:proofErr w:type="spellStart"/>
      <w:r w:rsidRPr="008F081F">
        <w:rPr>
          <w:sz w:val="24"/>
          <w:szCs w:val="24"/>
        </w:rPr>
        <w:t>затратоемкости</w:t>
      </w:r>
      <w:proofErr w:type="spellEnd"/>
      <w:r w:rsidRPr="008F081F">
        <w:rPr>
          <w:sz w:val="24"/>
          <w:szCs w:val="24"/>
        </w:rPr>
        <w:t xml:space="preserve"> </w:t>
      </w:r>
      <w:proofErr w:type="gramStart"/>
      <w:r w:rsidRPr="008F081F">
        <w:rPr>
          <w:sz w:val="24"/>
          <w:szCs w:val="24"/>
        </w:rPr>
        <w:t>по</w:t>
      </w:r>
      <w:proofErr w:type="gramEnd"/>
      <w:r w:rsidRPr="008F081F">
        <w:rPr>
          <w:sz w:val="24"/>
          <w:szCs w:val="24"/>
        </w:rPr>
        <w:t xml:space="preserve"> конкретной КСГ (</w:t>
      </w:r>
      <w:proofErr w:type="spellStart"/>
      <w:r w:rsidRPr="008F081F">
        <w:rPr>
          <w:sz w:val="24"/>
          <w:szCs w:val="24"/>
        </w:rPr>
        <w:t>КЗксг</w:t>
      </w:r>
      <w:proofErr w:type="spellEnd"/>
      <w:r w:rsidRPr="008F081F">
        <w:rPr>
          <w:sz w:val="24"/>
          <w:szCs w:val="24"/>
        </w:rPr>
        <w:t>) установлен Методическими рекомендациями.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kern w:val="24"/>
          <w:sz w:val="24"/>
          <w:szCs w:val="24"/>
          <w:u w:color="000000"/>
          <w:bdr w:val="nil"/>
        </w:rPr>
      </w:pPr>
      <w:r w:rsidRPr="008F081F">
        <w:rPr>
          <w:kern w:val="24"/>
          <w:sz w:val="24"/>
          <w:szCs w:val="24"/>
          <w:u w:color="000000"/>
          <w:bdr w:val="nil"/>
        </w:rPr>
        <w:t xml:space="preserve">Распределение медицинских организаций по уровням и подуровням оказания стационарной медицинской помощи осуществляется в соответствии с Методическими рекомендациями (Приложение 7 к Тарифному соглашению). 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Коэффициенты уровня оказания стационарной медицинской помощи (</w:t>
      </w:r>
      <w:proofErr w:type="spellStart"/>
      <w:r w:rsidRPr="008F081F">
        <w:rPr>
          <w:sz w:val="24"/>
          <w:szCs w:val="24"/>
        </w:rPr>
        <w:t>КПУСмо</w:t>
      </w:r>
      <w:proofErr w:type="spellEnd"/>
      <w:r w:rsidRPr="008F081F">
        <w:rPr>
          <w:sz w:val="24"/>
          <w:szCs w:val="24"/>
        </w:rPr>
        <w:t xml:space="preserve">) приведены в таблице </w:t>
      </w:r>
      <w:r w:rsidR="00CC7299" w:rsidRPr="008F081F">
        <w:rPr>
          <w:sz w:val="24"/>
          <w:szCs w:val="24"/>
        </w:rPr>
        <w:t>11</w:t>
      </w:r>
      <w:r w:rsidRPr="008F081F">
        <w:rPr>
          <w:sz w:val="24"/>
          <w:szCs w:val="24"/>
        </w:rPr>
        <w:t xml:space="preserve">. </w:t>
      </w:r>
      <w:r w:rsidR="002964FD" w:rsidRPr="008F081F">
        <w:rPr>
          <w:sz w:val="24"/>
          <w:szCs w:val="24"/>
        </w:rPr>
        <w:t xml:space="preserve">В соответствии с Методическими рекомендациями к ряду КСГ не применяются коэффициенты уровня оказания стационарной медицинской помощи (таблица </w:t>
      </w:r>
      <w:r w:rsidR="00CC7299" w:rsidRPr="008F081F">
        <w:rPr>
          <w:sz w:val="24"/>
          <w:szCs w:val="24"/>
        </w:rPr>
        <w:t>13</w:t>
      </w:r>
      <w:r w:rsidR="002964FD" w:rsidRPr="008F081F">
        <w:rPr>
          <w:sz w:val="24"/>
          <w:szCs w:val="24"/>
        </w:rPr>
        <w:t xml:space="preserve">). 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Управленческие коэффициенты (</w:t>
      </w:r>
      <w:proofErr w:type="spellStart"/>
      <w:r w:rsidRPr="008F081F">
        <w:rPr>
          <w:sz w:val="24"/>
          <w:szCs w:val="24"/>
        </w:rPr>
        <w:t>КУксг</w:t>
      </w:r>
      <w:proofErr w:type="spellEnd"/>
      <w:r w:rsidRPr="008F081F">
        <w:rPr>
          <w:sz w:val="24"/>
          <w:szCs w:val="24"/>
        </w:rPr>
        <w:t>)</w:t>
      </w:r>
      <w:r w:rsidR="00112C1B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применяемые к </w:t>
      </w:r>
      <w:proofErr w:type="gramStart"/>
      <w:r w:rsidRPr="008F081F">
        <w:rPr>
          <w:sz w:val="24"/>
          <w:szCs w:val="24"/>
        </w:rPr>
        <w:t>конкретным</w:t>
      </w:r>
      <w:proofErr w:type="gramEnd"/>
      <w:r w:rsidRPr="008F081F">
        <w:rPr>
          <w:sz w:val="24"/>
          <w:szCs w:val="24"/>
        </w:rPr>
        <w:t xml:space="preserve"> КСГ</w:t>
      </w:r>
      <w:r w:rsidR="00112C1B" w:rsidRPr="008F081F">
        <w:rPr>
          <w:sz w:val="24"/>
          <w:szCs w:val="24"/>
        </w:rPr>
        <w:t>,</w:t>
      </w:r>
      <w:r w:rsidR="00DE1ACC" w:rsidRPr="008F081F">
        <w:rPr>
          <w:sz w:val="24"/>
          <w:szCs w:val="24"/>
        </w:rPr>
        <w:t xml:space="preserve"> </w:t>
      </w:r>
      <w:r w:rsidR="003B115D" w:rsidRPr="008F081F">
        <w:rPr>
          <w:sz w:val="24"/>
          <w:szCs w:val="24"/>
        </w:rPr>
        <w:t xml:space="preserve">приведены в </w:t>
      </w:r>
      <w:proofErr w:type="spellStart"/>
      <w:r w:rsidR="00CC7299" w:rsidRPr="008F081F">
        <w:rPr>
          <w:sz w:val="24"/>
          <w:szCs w:val="24"/>
        </w:rPr>
        <w:t>в</w:t>
      </w:r>
      <w:proofErr w:type="spellEnd"/>
      <w:r w:rsidR="00CC7299" w:rsidRPr="008F081F">
        <w:rPr>
          <w:sz w:val="24"/>
          <w:szCs w:val="24"/>
        </w:rPr>
        <w:t xml:space="preserve"> п.5.2.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 xml:space="preserve">Коэффициент сложности лечения пациента (КСЛП) устанавливается с учетом более высокого уровня затрат на оказание медицинской помощи пациентам на основании объективных критериев (таблица </w:t>
      </w:r>
      <w:r w:rsidR="00CC7299" w:rsidRPr="008F081F">
        <w:rPr>
          <w:sz w:val="24"/>
          <w:szCs w:val="24"/>
        </w:rPr>
        <w:t>12</w:t>
      </w:r>
      <w:r w:rsidRPr="008F081F">
        <w:rPr>
          <w:sz w:val="24"/>
          <w:szCs w:val="24"/>
        </w:rPr>
        <w:t>). Суммарное значение КСЛП при наличии нескольких критериев не может превышать 1</w:t>
      </w:r>
      <w:r w:rsidR="00EE770D" w:rsidRPr="008F081F">
        <w:rPr>
          <w:sz w:val="24"/>
          <w:szCs w:val="24"/>
        </w:rPr>
        <w:t>.</w:t>
      </w:r>
      <w:r w:rsidRPr="008F081F">
        <w:rPr>
          <w:sz w:val="24"/>
          <w:szCs w:val="24"/>
        </w:rPr>
        <w:t>8</w:t>
      </w:r>
      <w:r w:rsidR="00112C1B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за исключением случаев </w:t>
      </w:r>
      <w:proofErr w:type="spellStart"/>
      <w:r w:rsidRPr="008F081F">
        <w:rPr>
          <w:sz w:val="24"/>
          <w:szCs w:val="24"/>
        </w:rPr>
        <w:t>сверхдлительной</w:t>
      </w:r>
      <w:proofErr w:type="spellEnd"/>
      <w:r w:rsidRPr="008F081F">
        <w:rPr>
          <w:sz w:val="24"/>
          <w:szCs w:val="24"/>
        </w:rPr>
        <w:t xml:space="preserve"> госпитализации.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3.4. Стоимость одного случая госпитализации в стационаре (</w:t>
      </w:r>
      <w:proofErr w:type="spellStart"/>
      <w:r w:rsidRPr="008F081F">
        <w:rPr>
          <w:sz w:val="24"/>
          <w:szCs w:val="24"/>
        </w:rPr>
        <w:t>Ссл</w:t>
      </w:r>
      <w:proofErr w:type="spellEnd"/>
      <w:r w:rsidRPr="008F081F">
        <w:rPr>
          <w:sz w:val="24"/>
          <w:szCs w:val="24"/>
        </w:rPr>
        <w:t>) по КСГ определяется по следующей формуле: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8F081F">
        <w:rPr>
          <w:sz w:val="24"/>
          <w:szCs w:val="24"/>
        </w:rPr>
        <w:t>Ссл</w:t>
      </w:r>
      <w:proofErr w:type="spellEnd"/>
      <w:r w:rsidRPr="008F081F">
        <w:rPr>
          <w:sz w:val="24"/>
          <w:szCs w:val="24"/>
        </w:rPr>
        <w:t>=БС*</w:t>
      </w:r>
      <w:proofErr w:type="spellStart"/>
      <w:r w:rsidRPr="008F081F">
        <w:rPr>
          <w:sz w:val="24"/>
          <w:szCs w:val="24"/>
        </w:rPr>
        <w:t>КЗксг</w:t>
      </w:r>
      <w:proofErr w:type="spellEnd"/>
      <w:r w:rsidRPr="008F081F">
        <w:rPr>
          <w:sz w:val="24"/>
          <w:szCs w:val="24"/>
        </w:rPr>
        <w:t>*ПК                                                (1)</w:t>
      </w:r>
      <w:r w:rsidR="003B115D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где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БС – базовая ставка финансирования стационарной медицинской помощи;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8F081F">
        <w:rPr>
          <w:sz w:val="24"/>
          <w:szCs w:val="24"/>
        </w:rPr>
        <w:t>КЗксг</w:t>
      </w:r>
      <w:proofErr w:type="spellEnd"/>
      <w:r w:rsidRPr="008F081F">
        <w:rPr>
          <w:sz w:val="24"/>
          <w:szCs w:val="24"/>
        </w:rPr>
        <w:t xml:space="preserve"> - коэффициент относительной </w:t>
      </w:r>
      <w:proofErr w:type="spellStart"/>
      <w:r w:rsidRPr="008F081F">
        <w:rPr>
          <w:sz w:val="24"/>
          <w:szCs w:val="24"/>
        </w:rPr>
        <w:t>затратоемкости</w:t>
      </w:r>
      <w:proofErr w:type="spellEnd"/>
      <w:r w:rsidRPr="008F081F">
        <w:rPr>
          <w:sz w:val="24"/>
          <w:szCs w:val="24"/>
        </w:rPr>
        <w:t xml:space="preserve"> по КСГ или КПГ</w:t>
      </w:r>
      <w:r w:rsidR="00EE770D" w:rsidRPr="008F081F">
        <w:rPr>
          <w:sz w:val="24"/>
          <w:szCs w:val="24"/>
        </w:rPr>
        <w:t>.</w:t>
      </w:r>
      <w:r w:rsidRPr="008F081F">
        <w:rPr>
          <w:sz w:val="24"/>
          <w:szCs w:val="24"/>
        </w:rPr>
        <w:t xml:space="preserve"> к которой отнесен</w:t>
      </w:r>
      <w:r w:rsidR="00112C1B" w:rsidRPr="008F081F">
        <w:rPr>
          <w:sz w:val="24"/>
          <w:szCs w:val="24"/>
        </w:rPr>
        <w:t xml:space="preserve"> данный случай госпитализации (</w:t>
      </w:r>
      <w:r w:rsidRPr="008F081F">
        <w:rPr>
          <w:sz w:val="24"/>
          <w:szCs w:val="24"/>
        </w:rPr>
        <w:t>коэффициент</w:t>
      </w:r>
      <w:r w:rsidR="00112C1B" w:rsidRPr="008F081F">
        <w:rPr>
          <w:sz w:val="24"/>
          <w:szCs w:val="24"/>
        </w:rPr>
        <w:t xml:space="preserve">, </w:t>
      </w:r>
      <w:r w:rsidRPr="008F081F">
        <w:rPr>
          <w:sz w:val="24"/>
          <w:szCs w:val="24"/>
        </w:rPr>
        <w:t>устанавливаемый на федеральном уровне);</w:t>
      </w:r>
      <w:proofErr w:type="gramEnd"/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ПК – поправочный коэффициент оплаты КСГ (как интегрированный коэффициент оплаты данного случая).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Поправочный  коэффициент оплаты  КСГ для конкретного случая рассчитывается по следующей формуле: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 xml:space="preserve">ПК =КУ </w:t>
      </w:r>
      <w:proofErr w:type="spellStart"/>
      <w:r w:rsidRPr="008F081F">
        <w:rPr>
          <w:sz w:val="24"/>
          <w:szCs w:val="24"/>
        </w:rPr>
        <w:t>ксг</w:t>
      </w:r>
      <w:proofErr w:type="spellEnd"/>
      <w:r w:rsidRPr="008F081F">
        <w:rPr>
          <w:sz w:val="24"/>
          <w:szCs w:val="24"/>
        </w:rPr>
        <w:t xml:space="preserve"> * </w:t>
      </w:r>
      <w:proofErr w:type="spellStart"/>
      <w:r w:rsidRPr="008F081F">
        <w:rPr>
          <w:sz w:val="24"/>
          <w:szCs w:val="24"/>
        </w:rPr>
        <w:t>КПУСмо</w:t>
      </w:r>
      <w:proofErr w:type="spellEnd"/>
      <w:r w:rsidRPr="008F081F">
        <w:rPr>
          <w:sz w:val="24"/>
          <w:szCs w:val="24"/>
        </w:rPr>
        <w:t xml:space="preserve"> * КСЛП                          (2). 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 xml:space="preserve">3.5.  Стоимость одного случая госпитализации в стационаре </w:t>
      </w:r>
      <w:r w:rsidR="002964FD" w:rsidRPr="008F081F">
        <w:rPr>
          <w:sz w:val="24"/>
          <w:szCs w:val="24"/>
        </w:rPr>
        <w:t xml:space="preserve">по </w:t>
      </w:r>
      <w:r w:rsidRPr="008F081F">
        <w:rPr>
          <w:sz w:val="24"/>
          <w:szCs w:val="24"/>
        </w:rPr>
        <w:t>КСГ</w:t>
      </w:r>
      <w:r w:rsidR="00BD19B3" w:rsidRPr="008F081F">
        <w:rPr>
          <w:sz w:val="24"/>
          <w:szCs w:val="24"/>
        </w:rPr>
        <w:t>,</w:t>
      </w:r>
      <w:r w:rsidR="002964FD" w:rsidRPr="008F081F">
        <w:rPr>
          <w:sz w:val="24"/>
          <w:szCs w:val="24"/>
        </w:rPr>
        <w:t xml:space="preserve"> к которым не применяются коэффициенты уровня оказания стационарной медицинской помощи </w:t>
      </w:r>
      <w:r w:rsidRPr="008F081F">
        <w:rPr>
          <w:sz w:val="24"/>
          <w:szCs w:val="24"/>
        </w:rPr>
        <w:t>(Ссл</w:t>
      </w:r>
      <w:proofErr w:type="gramStart"/>
      <w:r w:rsidRPr="008F081F">
        <w:rPr>
          <w:sz w:val="24"/>
          <w:szCs w:val="24"/>
        </w:rPr>
        <w:t>1</w:t>
      </w:r>
      <w:proofErr w:type="gramEnd"/>
      <w:r w:rsidRPr="008F081F">
        <w:rPr>
          <w:sz w:val="24"/>
          <w:szCs w:val="24"/>
        </w:rPr>
        <w:t>) определяется по следующей формуле: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trike/>
          <w:sz w:val="24"/>
          <w:szCs w:val="24"/>
        </w:rPr>
      </w:pPr>
      <w:r w:rsidRPr="008F081F">
        <w:rPr>
          <w:sz w:val="24"/>
          <w:szCs w:val="24"/>
        </w:rPr>
        <w:t>Ссл</w:t>
      </w:r>
      <w:proofErr w:type="gramStart"/>
      <w:r w:rsidRPr="008F081F">
        <w:rPr>
          <w:sz w:val="24"/>
          <w:szCs w:val="24"/>
        </w:rPr>
        <w:t>1</w:t>
      </w:r>
      <w:proofErr w:type="gramEnd"/>
      <w:r w:rsidRPr="008F081F">
        <w:rPr>
          <w:sz w:val="24"/>
          <w:szCs w:val="24"/>
        </w:rPr>
        <w:t xml:space="preserve">=БС * </w:t>
      </w:r>
      <w:proofErr w:type="spellStart"/>
      <w:r w:rsidRPr="008F081F">
        <w:rPr>
          <w:sz w:val="24"/>
          <w:szCs w:val="24"/>
        </w:rPr>
        <w:t>КЗксг</w:t>
      </w:r>
      <w:proofErr w:type="spellEnd"/>
      <w:r w:rsidRPr="008F081F">
        <w:rPr>
          <w:sz w:val="24"/>
          <w:szCs w:val="24"/>
        </w:rPr>
        <w:t xml:space="preserve"> * КУ </w:t>
      </w:r>
      <w:proofErr w:type="spellStart"/>
      <w:r w:rsidRPr="008F081F">
        <w:rPr>
          <w:sz w:val="24"/>
          <w:szCs w:val="24"/>
        </w:rPr>
        <w:t>ксг</w:t>
      </w:r>
      <w:proofErr w:type="spellEnd"/>
      <w:r w:rsidRPr="008F081F">
        <w:rPr>
          <w:sz w:val="24"/>
          <w:szCs w:val="24"/>
        </w:rPr>
        <w:t xml:space="preserve"> * КСЛП                            (3).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 xml:space="preserve">3.6. В случае обоснованной </w:t>
      </w:r>
      <w:proofErr w:type="spellStart"/>
      <w:r w:rsidRPr="008F081F">
        <w:rPr>
          <w:sz w:val="24"/>
          <w:szCs w:val="24"/>
        </w:rPr>
        <w:t>сверхдлительной</w:t>
      </w:r>
      <w:proofErr w:type="spellEnd"/>
      <w:r w:rsidRPr="008F081F">
        <w:rPr>
          <w:sz w:val="24"/>
          <w:szCs w:val="24"/>
        </w:rPr>
        <w:t xml:space="preserve"> госпитализации оплата осуществляется с применением </w:t>
      </w:r>
      <w:proofErr w:type="gramStart"/>
      <w:r w:rsidRPr="008F081F">
        <w:rPr>
          <w:sz w:val="24"/>
          <w:szCs w:val="24"/>
        </w:rPr>
        <w:t>расчетного</w:t>
      </w:r>
      <w:proofErr w:type="gramEnd"/>
      <w:r w:rsidRPr="008F081F">
        <w:rPr>
          <w:sz w:val="24"/>
          <w:szCs w:val="24"/>
        </w:rPr>
        <w:t xml:space="preserve"> КСЛП. При этом критерием отнесения случая к </w:t>
      </w:r>
      <w:proofErr w:type="spellStart"/>
      <w:r w:rsidRPr="008F081F">
        <w:rPr>
          <w:sz w:val="24"/>
          <w:szCs w:val="24"/>
        </w:rPr>
        <w:t>сверхдительному</w:t>
      </w:r>
      <w:proofErr w:type="spellEnd"/>
      <w:r w:rsidRPr="008F081F">
        <w:rPr>
          <w:sz w:val="24"/>
          <w:szCs w:val="24"/>
        </w:rPr>
        <w:t xml:space="preserve"> является госпитализация на срок свыше 30 дней</w:t>
      </w:r>
      <w:r w:rsidR="00BD19B3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кроме следующих КСГ</w:t>
      </w:r>
      <w:r w:rsidR="00BD19B3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которые считаются </w:t>
      </w:r>
      <w:proofErr w:type="spellStart"/>
      <w:r w:rsidRPr="008F081F">
        <w:rPr>
          <w:sz w:val="24"/>
          <w:szCs w:val="24"/>
        </w:rPr>
        <w:t>сверхдлительными</w:t>
      </w:r>
      <w:proofErr w:type="spellEnd"/>
      <w:r w:rsidRPr="008F081F">
        <w:rPr>
          <w:sz w:val="24"/>
          <w:szCs w:val="24"/>
        </w:rPr>
        <w:t xml:space="preserve"> при сроке пребывания более 45 дней</w:t>
      </w:r>
      <w:r w:rsidR="002964FD" w:rsidRPr="008F081F">
        <w:rPr>
          <w:sz w:val="24"/>
          <w:szCs w:val="24"/>
        </w:rPr>
        <w:t xml:space="preserve"> (таблица </w:t>
      </w:r>
      <w:r w:rsidR="00CC7299" w:rsidRPr="008F081F">
        <w:rPr>
          <w:sz w:val="24"/>
          <w:szCs w:val="24"/>
        </w:rPr>
        <w:t>9</w:t>
      </w:r>
      <w:r w:rsidR="002964FD" w:rsidRPr="008F081F">
        <w:rPr>
          <w:sz w:val="24"/>
          <w:szCs w:val="24"/>
        </w:rPr>
        <w:t>)</w:t>
      </w:r>
      <w:r w:rsidRPr="008F081F">
        <w:rPr>
          <w:sz w:val="24"/>
          <w:szCs w:val="24"/>
        </w:rPr>
        <w:t>: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right"/>
        <w:rPr>
          <w:sz w:val="24"/>
          <w:szCs w:val="24"/>
        </w:rPr>
      </w:pPr>
      <w:r w:rsidRPr="008F081F">
        <w:rPr>
          <w:sz w:val="24"/>
          <w:szCs w:val="24"/>
        </w:rPr>
        <w:t xml:space="preserve">Таблица </w:t>
      </w:r>
      <w:r w:rsidR="00CC7299" w:rsidRPr="008F081F"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204"/>
      </w:tblGrid>
      <w:tr w:rsidR="00D04F62" w:rsidRPr="008F081F" w:rsidTr="00716CAD">
        <w:tc>
          <w:tcPr>
            <w:tcW w:w="933" w:type="dxa"/>
            <w:shd w:val="clear" w:color="auto" w:fill="auto"/>
            <w:vAlign w:val="center"/>
          </w:tcPr>
          <w:p w:rsidR="00D04F62" w:rsidRPr="008F081F" w:rsidRDefault="00D04F62" w:rsidP="00B555D9">
            <w:pPr>
              <w:tabs>
                <w:tab w:val="left" w:pos="993"/>
              </w:tabs>
              <w:jc w:val="center"/>
            </w:pPr>
            <w:r w:rsidRPr="008F081F">
              <w:t>№ КСГ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D04F62" w:rsidRPr="008F081F" w:rsidRDefault="00D04F62" w:rsidP="00B555D9">
            <w:pPr>
              <w:tabs>
                <w:tab w:val="left" w:pos="993"/>
              </w:tabs>
              <w:jc w:val="center"/>
            </w:pPr>
            <w:r w:rsidRPr="008F081F">
              <w:t>Наименование КСГ</w:t>
            </w:r>
          </w:p>
        </w:tc>
      </w:tr>
      <w:tr w:rsidR="00D04F62" w:rsidRPr="008F081F" w:rsidTr="00716CAD">
        <w:tc>
          <w:tcPr>
            <w:tcW w:w="933" w:type="dxa"/>
            <w:shd w:val="clear" w:color="auto" w:fill="auto"/>
            <w:vAlign w:val="center"/>
          </w:tcPr>
          <w:p w:rsidR="00D04F62" w:rsidRPr="008F081F" w:rsidRDefault="00E0228B" w:rsidP="00EE770D">
            <w:pPr>
              <w:tabs>
                <w:tab w:val="left" w:pos="993"/>
              </w:tabs>
              <w:rPr>
                <w:lang w:val="en-US"/>
              </w:rPr>
            </w:pPr>
            <w:r w:rsidRPr="008F081F">
              <w:rPr>
                <w:lang w:val="en-US"/>
              </w:rPr>
              <w:t>s</w:t>
            </w:r>
            <w:r w:rsidR="00F32D77" w:rsidRPr="008F081F">
              <w:rPr>
                <w:lang w:val="en-US"/>
              </w:rPr>
              <w:t>t10.001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D04F62" w:rsidRPr="008F081F" w:rsidRDefault="00D04F62" w:rsidP="00EE770D">
            <w:pPr>
              <w:tabs>
                <w:tab w:val="left" w:pos="993"/>
              </w:tabs>
            </w:pPr>
            <w:r w:rsidRPr="008F081F">
              <w:t>Детская хирургия</w:t>
            </w:r>
            <w:proofErr w:type="gramStart"/>
            <w:r w:rsidR="00EE770D" w:rsidRPr="008F081F">
              <w:t>.</w:t>
            </w:r>
            <w:proofErr w:type="gramEnd"/>
            <w:r w:rsidRPr="008F081F">
              <w:t xml:space="preserve"> </w:t>
            </w:r>
            <w:proofErr w:type="gramStart"/>
            <w:r w:rsidRPr="008F081F">
              <w:t>у</w:t>
            </w:r>
            <w:proofErr w:type="gramEnd"/>
            <w:r w:rsidRPr="008F081F">
              <w:t>ровень 1</w:t>
            </w:r>
          </w:p>
        </w:tc>
      </w:tr>
      <w:tr w:rsidR="00716CAD" w:rsidRPr="008F081F" w:rsidTr="00716CAD">
        <w:tc>
          <w:tcPr>
            <w:tcW w:w="933" w:type="dxa"/>
            <w:shd w:val="clear" w:color="auto" w:fill="auto"/>
          </w:tcPr>
          <w:p w:rsidR="00716CAD" w:rsidRPr="008F081F" w:rsidRDefault="00E0228B" w:rsidP="00716CAD">
            <w:r w:rsidRPr="008F081F">
              <w:rPr>
                <w:lang w:val="en-US"/>
              </w:rPr>
              <w:t>s</w:t>
            </w:r>
            <w:r w:rsidR="00716CAD" w:rsidRPr="008F081F">
              <w:rPr>
                <w:lang w:val="en-US"/>
              </w:rPr>
              <w:t>t10.002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716CAD" w:rsidRPr="008F081F" w:rsidRDefault="00716CAD" w:rsidP="00EE770D">
            <w:pPr>
              <w:tabs>
                <w:tab w:val="left" w:pos="993"/>
              </w:tabs>
            </w:pPr>
            <w:r w:rsidRPr="008F081F">
              <w:t>Детская хирургия</w:t>
            </w:r>
            <w:proofErr w:type="gramStart"/>
            <w:r w:rsidRPr="008F081F">
              <w:t>.</w:t>
            </w:r>
            <w:proofErr w:type="gramEnd"/>
            <w:r w:rsidRPr="008F081F">
              <w:t xml:space="preserve"> </w:t>
            </w:r>
            <w:proofErr w:type="gramStart"/>
            <w:r w:rsidRPr="008F081F">
              <w:t>у</w:t>
            </w:r>
            <w:proofErr w:type="gramEnd"/>
            <w:r w:rsidRPr="008F081F">
              <w:t>ровень 2</w:t>
            </w:r>
          </w:p>
        </w:tc>
      </w:tr>
      <w:tr w:rsidR="00716CAD" w:rsidRPr="008F081F" w:rsidTr="00716CAD">
        <w:tc>
          <w:tcPr>
            <w:tcW w:w="933" w:type="dxa"/>
            <w:shd w:val="clear" w:color="auto" w:fill="auto"/>
          </w:tcPr>
          <w:p w:rsidR="00716CAD" w:rsidRPr="008F081F" w:rsidRDefault="00E0228B" w:rsidP="00716CAD">
            <w:r w:rsidRPr="008F081F">
              <w:rPr>
                <w:lang w:val="en-US"/>
              </w:rPr>
              <w:t>s</w:t>
            </w:r>
            <w:r w:rsidR="00716CAD" w:rsidRPr="008F081F">
              <w:rPr>
                <w:lang w:val="en-US"/>
              </w:rPr>
              <w:t>t17.002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716CAD" w:rsidRPr="008F081F" w:rsidRDefault="00716CAD" w:rsidP="00EE770D">
            <w:pPr>
              <w:tabs>
                <w:tab w:val="left" w:pos="993"/>
              </w:tabs>
            </w:pPr>
            <w:r w:rsidRPr="008F081F">
              <w:t>Крайне малая масса тела при рождении</w:t>
            </w:r>
            <w:proofErr w:type="gramStart"/>
            <w:r w:rsidRPr="008F081F">
              <w:t>.</w:t>
            </w:r>
            <w:proofErr w:type="gramEnd"/>
            <w:r w:rsidRPr="008F081F">
              <w:t xml:space="preserve"> </w:t>
            </w:r>
            <w:proofErr w:type="gramStart"/>
            <w:r w:rsidRPr="008F081F">
              <w:t>к</w:t>
            </w:r>
            <w:proofErr w:type="gramEnd"/>
            <w:r w:rsidRPr="008F081F">
              <w:t>райняя незрелость</w:t>
            </w:r>
          </w:p>
        </w:tc>
      </w:tr>
      <w:tr w:rsidR="00716CAD" w:rsidRPr="008F081F" w:rsidTr="00716CAD">
        <w:tc>
          <w:tcPr>
            <w:tcW w:w="933" w:type="dxa"/>
            <w:shd w:val="clear" w:color="auto" w:fill="auto"/>
          </w:tcPr>
          <w:p w:rsidR="00716CAD" w:rsidRPr="008F081F" w:rsidRDefault="00E0228B" w:rsidP="008E433A">
            <w:r w:rsidRPr="008F081F">
              <w:rPr>
                <w:lang w:val="en-US"/>
              </w:rPr>
              <w:t>s</w:t>
            </w:r>
            <w:r w:rsidR="00716CAD" w:rsidRPr="008F081F">
              <w:rPr>
                <w:lang w:val="en-US"/>
              </w:rPr>
              <w:t>t1</w:t>
            </w:r>
            <w:r w:rsidR="008E433A" w:rsidRPr="008F081F">
              <w:rPr>
                <w:lang w:val="en-US"/>
              </w:rPr>
              <w:t>7</w:t>
            </w:r>
            <w:r w:rsidR="00716CAD" w:rsidRPr="008F081F">
              <w:rPr>
                <w:lang w:val="en-US"/>
              </w:rPr>
              <w:t>.00</w:t>
            </w:r>
            <w:r w:rsidR="008E433A" w:rsidRPr="008F081F">
              <w:rPr>
                <w:lang w:val="en-US"/>
              </w:rPr>
              <w:t>3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716CAD" w:rsidRPr="008F081F" w:rsidRDefault="00716CAD" w:rsidP="00EE770D">
            <w:pPr>
              <w:tabs>
                <w:tab w:val="left" w:pos="993"/>
              </w:tabs>
            </w:pPr>
            <w:r w:rsidRPr="008F081F"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716CAD" w:rsidRPr="008F081F" w:rsidTr="00716CAD">
        <w:tc>
          <w:tcPr>
            <w:tcW w:w="933" w:type="dxa"/>
            <w:shd w:val="clear" w:color="auto" w:fill="auto"/>
          </w:tcPr>
          <w:p w:rsidR="00716CAD" w:rsidRPr="008F081F" w:rsidRDefault="00E0228B" w:rsidP="002E16A2">
            <w:r w:rsidRPr="008F081F">
              <w:rPr>
                <w:lang w:val="en-US"/>
              </w:rPr>
              <w:t>s</w:t>
            </w:r>
            <w:r w:rsidR="00716CAD" w:rsidRPr="008F081F">
              <w:rPr>
                <w:lang w:val="en-US"/>
              </w:rPr>
              <w:t>t</w:t>
            </w:r>
            <w:r w:rsidR="002E16A2" w:rsidRPr="008F081F">
              <w:rPr>
                <w:lang w:val="en-US"/>
              </w:rPr>
              <w:t>29</w:t>
            </w:r>
            <w:r w:rsidR="00716CAD" w:rsidRPr="008F081F">
              <w:rPr>
                <w:lang w:val="en-US"/>
              </w:rPr>
              <w:t>.00</w:t>
            </w:r>
            <w:r w:rsidR="002E16A2" w:rsidRPr="008F081F">
              <w:rPr>
                <w:lang w:val="en-US"/>
              </w:rPr>
              <w:t>7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716CAD" w:rsidRPr="008F081F" w:rsidRDefault="00716CAD" w:rsidP="00EE770D">
            <w:pPr>
              <w:tabs>
                <w:tab w:val="left" w:pos="993"/>
              </w:tabs>
            </w:pPr>
            <w:r w:rsidRPr="008F081F">
              <w:t>Тяжелая множественная и сочетанная травма (</w:t>
            </w:r>
            <w:proofErr w:type="spellStart"/>
            <w:r w:rsidRPr="008F081F">
              <w:t>политравма</w:t>
            </w:r>
            <w:proofErr w:type="spellEnd"/>
            <w:r w:rsidRPr="008F081F">
              <w:t>)</w:t>
            </w:r>
          </w:p>
        </w:tc>
      </w:tr>
      <w:tr w:rsidR="00716CAD" w:rsidRPr="008F081F" w:rsidTr="00716CAD">
        <w:tc>
          <w:tcPr>
            <w:tcW w:w="933" w:type="dxa"/>
            <w:shd w:val="clear" w:color="auto" w:fill="auto"/>
          </w:tcPr>
          <w:p w:rsidR="00716CAD" w:rsidRPr="008F081F" w:rsidRDefault="00E0228B" w:rsidP="002E16A2">
            <w:r w:rsidRPr="008F081F">
              <w:rPr>
                <w:lang w:val="en-US"/>
              </w:rPr>
              <w:t>s</w:t>
            </w:r>
            <w:r w:rsidR="00716CAD" w:rsidRPr="008F081F">
              <w:rPr>
                <w:lang w:val="en-US"/>
              </w:rPr>
              <w:t>t</w:t>
            </w:r>
            <w:r w:rsidR="002E16A2" w:rsidRPr="008F081F">
              <w:rPr>
                <w:lang w:val="en-US"/>
              </w:rPr>
              <w:t>32</w:t>
            </w:r>
            <w:r w:rsidR="00716CAD" w:rsidRPr="008F081F">
              <w:rPr>
                <w:lang w:val="en-US"/>
              </w:rPr>
              <w:t>.00</w:t>
            </w:r>
            <w:r w:rsidR="002E16A2" w:rsidRPr="008F081F">
              <w:rPr>
                <w:lang w:val="en-US"/>
              </w:rPr>
              <w:t>6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716CAD" w:rsidRPr="008F081F" w:rsidRDefault="00716CAD" w:rsidP="00EE770D">
            <w:pPr>
              <w:tabs>
                <w:tab w:val="left" w:pos="993"/>
              </w:tabs>
            </w:pPr>
            <w:r w:rsidRPr="008F081F">
              <w:t>Операции на печени и поджелудочной железе (уровень 2)</w:t>
            </w:r>
          </w:p>
        </w:tc>
      </w:tr>
      <w:tr w:rsidR="00716CAD" w:rsidRPr="008F081F" w:rsidTr="00716CAD">
        <w:tc>
          <w:tcPr>
            <w:tcW w:w="933" w:type="dxa"/>
            <w:shd w:val="clear" w:color="auto" w:fill="auto"/>
          </w:tcPr>
          <w:p w:rsidR="00716CAD" w:rsidRPr="008F081F" w:rsidRDefault="00E0228B" w:rsidP="002E16A2">
            <w:r w:rsidRPr="008F081F">
              <w:rPr>
                <w:lang w:val="en-US"/>
              </w:rPr>
              <w:t>s</w:t>
            </w:r>
            <w:r w:rsidR="00716CAD" w:rsidRPr="008F081F">
              <w:rPr>
                <w:lang w:val="en-US"/>
              </w:rPr>
              <w:t>t</w:t>
            </w:r>
            <w:r w:rsidR="002E16A2" w:rsidRPr="008F081F">
              <w:rPr>
                <w:lang w:val="en-US"/>
              </w:rPr>
              <w:t>32</w:t>
            </w:r>
            <w:r w:rsidR="00716CAD" w:rsidRPr="008F081F">
              <w:rPr>
                <w:lang w:val="en-US"/>
              </w:rPr>
              <w:t>.00</w:t>
            </w:r>
            <w:r w:rsidR="002E16A2" w:rsidRPr="008F081F">
              <w:rPr>
                <w:lang w:val="en-US"/>
              </w:rPr>
              <w:t>7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716CAD" w:rsidRPr="008F081F" w:rsidRDefault="00716CAD" w:rsidP="00EE770D">
            <w:pPr>
              <w:tabs>
                <w:tab w:val="left" w:pos="993"/>
              </w:tabs>
            </w:pPr>
            <w:r w:rsidRPr="008F081F">
              <w:t>Панкреатит</w:t>
            </w:r>
            <w:r w:rsidR="003B115D" w:rsidRPr="008F081F">
              <w:t>,</w:t>
            </w:r>
            <w:r w:rsidRPr="008F081F">
              <w:t xml:space="preserve"> хирургическое лечение</w:t>
            </w:r>
          </w:p>
        </w:tc>
      </w:tr>
      <w:tr w:rsidR="00716CAD" w:rsidRPr="008F081F" w:rsidTr="00716CAD">
        <w:tc>
          <w:tcPr>
            <w:tcW w:w="933" w:type="dxa"/>
            <w:shd w:val="clear" w:color="auto" w:fill="auto"/>
          </w:tcPr>
          <w:p w:rsidR="00716CAD" w:rsidRPr="008F081F" w:rsidRDefault="00E0228B" w:rsidP="002E16A2">
            <w:r w:rsidRPr="008F081F">
              <w:rPr>
                <w:lang w:val="en-US"/>
              </w:rPr>
              <w:t>s</w:t>
            </w:r>
            <w:r w:rsidR="00716CAD" w:rsidRPr="008F081F">
              <w:rPr>
                <w:lang w:val="en-US"/>
              </w:rPr>
              <w:t>t</w:t>
            </w:r>
            <w:r w:rsidR="002E16A2" w:rsidRPr="008F081F">
              <w:rPr>
                <w:lang w:val="en-US"/>
              </w:rPr>
              <w:t>33</w:t>
            </w:r>
            <w:r w:rsidR="00716CAD" w:rsidRPr="008F081F">
              <w:rPr>
                <w:lang w:val="en-US"/>
              </w:rPr>
              <w:t>.00</w:t>
            </w:r>
            <w:r w:rsidR="002E16A2" w:rsidRPr="008F081F">
              <w:rPr>
                <w:lang w:val="en-US"/>
              </w:rPr>
              <w:t>7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716CAD" w:rsidRPr="008F081F" w:rsidRDefault="00716CAD" w:rsidP="00EE770D">
            <w:pPr>
              <w:tabs>
                <w:tab w:val="left" w:pos="993"/>
              </w:tabs>
            </w:pPr>
            <w:r w:rsidRPr="008F081F">
              <w:t>Ожоги (уровень 5)</w:t>
            </w:r>
          </w:p>
        </w:tc>
      </w:tr>
    </w:tbl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 xml:space="preserve">Значение КСЛП в </w:t>
      </w:r>
      <w:proofErr w:type="gramStart"/>
      <w:r w:rsidRPr="008F081F">
        <w:rPr>
          <w:sz w:val="24"/>
          <w:szCs w:val="24"/>
        </w:rPr>
        <w:t>этом</w:t>
      </w:r>
      <w:proofErr w:type="gramEnd"/>
      <w:r w:rsidRPr="008F081F">
        <w:rPr>
          <w:sz w:val="24"/>
          <w:szCs w:val="24"/>
        </w:rPr>
        <w:t xml:space="preserve"> случае определяется по следующей формуле: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КСЛП = 1+ (ФКД-НКД)/НКД *</w:t>
      </w:r>
      <w:proofErr w:type="spellStart"/>
      <w:r w:rsidRPr="008F081F">
        <w:rPr>
          <w:sz w:val="24"/>
          <w:szCs w:val="24"/>
        </w:rPr>
        <w:t>Кдл</w:t>
      </w:r>
      <w:proofErr w:type="spellEnd"/>
      <w:r w:rsidRPr="008F081F">
        <w:rPr>
          <w:sz w:val="24"/>
          <w:szCs w:val="24"/>
        </w:rPr>
        <w:t xml:space="preserve">            (4)</w:t>
      </w:r>
      <w:r w:rsidR="00BD19B3" w:rsidRPr="008F081F">
        <w:rPr>
          <w:sz w:val="24"/>
          <w:szCs w:val="24"/>
        </w:rPr>
        <w:t xml:space="preserve">, </w:t>
      </w:r>
      <w:r w:rsidRPr="008F081F">
        <w:rPr>
          <w:sz w:val="24"/>
          <w:szCs w:val="24"/>
        </w:rPr>
        <w:t>где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ФКД – фактическое количество койко-дней;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НКД – нормативное количество койко-дней;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8F081F">
        <w:rPr>
          <w:sz w:val="24"/>
          <w:szCs w:val="24"/>
        </w:rPr>
        <w:t>Кдл</w:t>
      </w:r>
      <w:proofErr w:type="spellEnd"/>
      <w:r w:rsidRPr="008F081F">
        <w:rPr>
          <w:sz w:val="24"/>
          <w:szCs w:val="24"/>
        </w:rPr>
        <w:t xml:space="preserve"> – коэффициент длительности</w:t>
      </w:r>
      <w:r w:rsidR="00BD19B3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учитывающий расходы на медикаменты</w:t>
      </w:r>
      <w:r w:rsidR="00BD19B3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 xml:space="preserve"> питание</w:t>
      </w:r>
      <w:r w:rsidR="00BD19B3" w:rsidRPr="008F081F">
        <w:rPr>
          <w:sz w:val="24"/>
          <w:szCs w:val="24"/>
        </w:rPr>
        <w:t xml:space="preserve">, </w:t>
      </w:r>
      <w:r w:rsidRPr="008F081F">
        <w:rPr>
          <w:sz w:val="24"/>
          <w:szCs w:val="24"/>
        </w:rPr>
        <w:t>и частично на другие статьи расходов. Значение коэффициента длительности – 0</w:t>
      </w:r>
      <w:r w:rsidR="00BD19B3" w:rsidRPr="008F081F">
        <w:rPr>
          <w:sz w:val="24"/>
          <w:szCs w:val="24"/>
        </w:rPr>
        <w:t>,</w:t>
      </w:r>
      <w:r w:rsidRPr="008F081F">
        <w:rPr>
          <w:sz w:val="24"/>
          <w:szCs w:val="24"/>
        </w:rPr>
        <w:t>25.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3431" w:rsidRPr="003C65A5" w:rsidRDefault="00D04F62" w:rsidP="0058343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65A5">
        <w:rPr>
          <w:sz w:val="24"/>
          <w:szCs w:val="24"/>
        </w:rPr>
        <w:t xml:space="preserve">3.7. </w:t>
      </w:r>
      <w:r w:rsidR="00583431" w:rsidRPr="003C65A5">
        <w:rPr>
          <w:sz w:val="24"/>
          <w:szCs w:val="24"/>
        </w:rPr>
        <w:t>Стоимость прерванного случа</w:t>
      </w:r>
      <w:r w:rsidR="00B71AE8">
        <w:rPr>
          <w:sz w:val="24"/>
          <w:szCs w:val="24"/>
        </w:rPr>
        <w:t>я госпитализации, а также случая,</w:t>
      </w:r>
      <w:r w:rsidR="00583431" w:rsidRPr="003C65A5">
        <w:rPr>
          <w:sz w:val="24"/>
          <w:szCs w:val="24"/>
        </w:rPr>
        <w:t xml:space="preserve"> при котором длительность госпитализации составляет менее 3 дней включительно, за исключением </w:t>
      </w:r>
      <w:r w:rsidR="00090DDF">
        <w:rPr>
          <w:sz w:val="24"/>
          <w:szCs w:val="24"/>
        </w:rPr>
        <w:t xml:space="preserve">законченных </w:t>
      </w:r>
      <w:bookmarkStart w:id="0" w:name="_GoBack"/>
      <w:bookmarkEnd w:id="0"/>
      <w:r w:rsidR="00583431" w:rsidRPr="003C65A5">
        <w:rPr>
          <w:sz w:val="24"/>
          <w:szCs w:val="24"/>
        </w:rPr>
        <w:t>случаев, для которых длительность 3 дня и менее являются оптимальными сроками лечения</w:t>
      </w:r>
      <w:r w:rsidR="00B71AE8">
        <w:rPr>
          <w:sz w:val="24"/>
          <w:szCs w:val="24"/>
        </w:rPr>
        <w:t>,</w:t>
      </w:r>
      <w:r w:rsidR="00583431" w:rsidRPr="003C65A5">
        <w:rPr>
          <w:sz w:val="24"/>
          <w:szCs w:val="24"/>
        </w:rPr>
        <w:t xml:space="preserve"> рассчитывается по следующей формуле:</w:t>
      </w:r>
    </w:p>
    <w:p w:rsidR="00583431" w:rsidRDefault="00583431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Pr="00583431" w:rsidRDefault="00D04F62" w:rsidP="00D04F62">
      <w:pPr>
        <w:tabs>
          <w:tab w:val="left" w:pos="993"/>
        </w:tabs>
        <w:ind w:firstLine="709"/>
        <w:jc w:val="both"/>
        <w:rPr>
          <w:strike/>
          <w:sz w:val="24"/>
          <w:szCs w:val="24"/>
        </w:rPr>
      </w:pP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8F081F">
        <w:rPr>
          <w:sz w:val="24"/>
          <w:szCs w:val="24"/>
        </w:rPr>
        <w:t>Ссл</w:t>
      </w:r>
      <w:proofErr w:type="spellEnd"/>
      <w:r w:rsidRPr="008F081F">
        <w:rPr>
          <w:sz w:val="24"/>
          <w:szCs w:val="24"/>
        </w:rPr>
        <w:t>=(БС*</w:t>
      </w:r>
      <w:proofErr w:type="spellStart"/>
      <w:r w:rsidRPr="008F081F">
        <w:rPr>
          <w:sz w:val="24"/>
          <w:szCs w:val="24"/>
        </w:rPr>
        <w:t>КЗксг</w:t>
      </w:r>
      <w:proofErr w:type="spellEnd"/>
      <w:r w:rsidRPr="008F081F">
        <w:rPr>
          <w:sz w:val="24"/>
          <w:szCs w:val="24"/>
        </w:rPr>
        <w:t xml:space="preserve">*ПК)*Д%                </w:t>
      </w:r>
      <w:r w:rsidR="006200E7">
        <w:rPr>
          <w:sz w:val="24"/>
          <w:szCs w:val="24"/>
        </w:rPr>
        <w:t xml:space="preserve">                                                                   </w:t>
      </w:r>
      <w:r w:rsidRPr="008F081F">
        <w:rPr>
          <w:sz w:val="24"/>
          <w:szCs w:val="24"/>
        </w:rPr>
        <w:t xml:space="preserve">        (5); где </w:t>
      </w:r>
    </w:p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04F62" w:rsidRDefault="00D04F62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Д% - доля оплаты тарифа КСГ</w:t>
      </w:r>
    </w:p>
    <w:p w:rsidR="00E942CE" w:rsidRDefault="00E942CE" w:rsidP="00D04F6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CE" w:rsidRPr="003C65A5" w:rsidRDefault="00E942CE" w:rsidP="00E942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65A5">
        <w:rPr>
          <w:sz w:val="24"/>
          <w:szCs w:val="24"/>
        </w:rPr>
        <w:t xml:space="preserve">В случае если пациенту была выполнена хирургическая операция и (или) проведена </w:t>
      </w:r>
      <w:proofErr w:type="spellStart"/>
      <w:r w:rsidRPr="003C65A5">
        <w:rPr>
          <w:sz w:val="24"/>
          <w:szCs w:val="24"/>
        </w:rPr>
        <w:t>тромболитическая</w:t>
      </w:r>
      <w:proofErr w:type="spellEnd"/>
      <w:r w:rsidRPr="003C65A5">
        <w:rPr>
          <w:sz w:val="24"/>
          <w:szCs w:val="24"/>
        </w:rPr>
        <w:t xml:space="preserve"> терапия, являющиеся классификационными критериями отнесения данных случаев лечения </w:t>
      </w:r>
      <w:proofErr w:type="gramStart"/>
      <w:r w:rsidRPr="003C65A5">
        <w:rPr>
          <w:sz w:val="24"/>
          <w:szCs w:val="24"/>
        </w:rPr>
        <w:t>к</w:t>
      </w:r>
      <w:proofErr w:type="gramEnd"/>
      <w:r w:rsidRPr="003C65A5">
        <w:rPr>
          <w:sz w:val="24"/>
          <w:szCs w:val="24"/>
        </w:rPr>
        <w:t xml:space="preserve"> конкретным КСГ, случай оплачивается в размере:</w:t>
      </w:r>
    </w:p>
    <w:p w:rsidR="00E942CE" w:rsidRPr="003C65A5" w:rsidRDefault="00E942CE" w:rsidP="00E942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65A5">
        <w:rPr>
          <w:sz w:val="24"/>
          <w:szCs w:val="24"/>
        </w:rPr>
        <w:t xml:space="preserve">- при длительности лечения 3 дня и менее </w:t>
      </w:r>
      <w:r w:rsidR="00F35B12" w:rsidRPr="003C65A5">
        <w:rPr>
          <w:sz w:val="24"/>
          <w:szCs w:val="24"/>
        </w:rPr>
        <w:t>–</w:t>
      </w:r>
      <w:r w:rsidRPr="003C65A5">
        <w:rPr>
          <w:sz w:val="24"/>
          <w:szCs w:val="24"/>
        </w:rPr>
        <w:t xml:space="preserve"> </w:t>
      </w:r>
      <w:r w:rsidR="00F35B12" w:rsidRPr="003C65A5">
        <w:rPr>
          <w:sz w:val="24"/>
          <w:szCs w:val="24"/>
        </w:rPr>
        <w:t>Д</w:t>
      </w:r>
      <w:r w:rsidR="00E048FC" w:rsidRPr="003C65A5">
        <w:rPr>
          <w:sz w:val="24"/>
          <w:szCs w:val="24"/>
        </w:rPr>
        <w:t xml:space="preserve"> </w:t>
      </w:r>
      <w:r w:rsidR="00F35B12" w:rsidRPr="003C65A5">
        <w:rPr>
          <w:sz w:val="24"/>
          <w:szCs w:val="24"/>
        </w:rPr>
        <w:t>=</w:t>
      </w:r>
      <w:r w:rsidRPr="003C65A5">
        <w:rPr>
          <w:sz w:val="24"/>
          <w:szCs w:val="24"/>
        </w:rPr>
        <w:t xml:space="preserve"> 90% от стоимости КСГ;</w:t>
      </w:r>
    </w:p>
    <w:p w:rsidR="00E048FC" w:rsidRPr="003C65A5" w:rsidRDefault="00E942CE" w:rsidP="00E942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65A5">
        <w:rPr>
          <w:sz w:val="24"/>
          <w:szCs w:val="24"/>
        </w:rPr>
        <w:t>- при длительности</w:t>
      </w:r>
      <w:r w:rsidR="00E048FC" w:rsidRPr="003C65A5">
        <w:rPr>
          <w:sz w:val="24"/>
          <w:szCs w:val="24"/>
        </w:rPr>
        <w:t xml:space="preserve"> лечения более 3-х дней – Д = </w:t>
      </w:r>
      <w:r w:rsidR="00C96C48" w:rsidRPr="003C65A5">
        <w:rPr>
          <w:sz w:val="24"/>
          <w:szCs w:val="24"/>
        </w:rPr>
        <w:t>100</w:t>
      </w:r>
      <w:r w:rsidR="00E048FC" w:rsidRPr="003C65A5">
        <w:rPr>
          <w:sz w:val="24"/>
          <w:szCs w:val="24"/>
        </w:rPr>
        <w:t>% от стоимости КСГ;</w:t>
      </w:r>
    </w:p>
    <w:p w:rsidR="00E942CE" w:rsidRPr="003C65A5" w:rsidRDefault="00E942CE" w:rsidP="00E942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65A5">
        <w:rPr>
          <w:sz w:val="24"/>
          <w:szCs w:val="24"/>
        </w:rPr>
        <w:t xml:space="preserve">Если хирургическое лечение и (или) </w:t>
      </w:r>
      <w:proofErr w:type="spellStart"/>
      <w:r w:rsidRPr="003C65A5">
        <w:rPr>
          <w:sz w:val="24"/>
          <w:szCs w:val="24"/>
        </w:rPr>
        <w:t>тромболитическая</w:t>
      </w:r>
      <w:proofErr w:type="spellEnd"/>
      <w:r w:rsidRPr="003C65A5">
        <w:rPr>
          <w:sz w:val="24"/>
          <w:szCs w:val="24"/>
        </w:rPr>
        <w:t xml:space="preserve"> терапия не проводились, случай оплачивается в </w:t>
      </w:r>
      <w:proofErr w:type="gramStart"/>
      <w:r w:rsidRPr="003C65A5">
        <w:rPr>
          <w:sz w:val="24"/>
          <w:szCs w:val="24"/>
        </w:rPr>
        <w:t>размере</w:t>
      </w:r>
      <w:proofErr w:type="gramEnd"/>
      <w:r w:rsidRPr="003C65A5">
        <w:rPr>
          <w:sz w:val="24"/>
          <w:szCs w:val="24"/>
        </w:rPr>
        <w:t>:</w:t>
      </w:r>
    </w:p>
    <w:p w:rsidR="00E942CE" w:rsidRPr="003C65A5" w:rsidRDefault="00E942CE" w:rsidP="00E942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65A5">
        <w:rPr>
          <w:sz w:val="24"/>
          <w:szCs w:val="24"/>
        </w:rPr>
        <w:t xml:space="preserve">- при длительности лечения 3 дня и менее - </w:t>
      </w:r>
      <w:r w:rsidR="00F35B12" w:rsidRPr="003C65A5">
        <w:rPr>
          <w:sz w:val="24"/>
          <w:szCs w:val="24"/>
        </w:rPr>
        <w:t xml:space="preserve">Д= 50% </w:t>
      </w:r>
      <w:r w:rsidRPr="003C65A5">
        <w:rPr>
          <w:sz w:val="24"/>
          <w:szCs w:val="24"/>
        </w:rPr>
        <w:t>от стоимости КСГ;</w:t>
      </w:r>
    </w:p>
    <w:p w:rsidR="00E942CE" w:rsidRPr="003C65A5" w:rsidRDefault="00E942CE" w:rsidP="00E942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65A5">
        <w:rPr>
          <w:sz w:val="24"/>
          <w:szCs w:val="24"/>
        </w:rPr>
        <w:t xml:space="preserve">- при длительности лечения более 3-х дней - </w:t>
      </w:r>
      <w:r w:rsidR="00F35B12" w:rsidRPr="003C65A5">
        <w:rPr>
          <w:sz w:val="24"/>
          <w:szCs w:val="24"/>
        </w:rPr>
        <w:t>Д= 80% от стоимости КСГ.</w:t>
      </w:r>
    </w:p>
    <w:p w:rsidR="00B457BE" w:rsidRPr="003C65A5" w:rsidRDefault="00B457BE" w:rsidP="00B457B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65A5">
        <w:rPr>
          <w:sz w:val="24"/>
          <w:szCs w:val="24"/>
        </w:rPr>
        <w:t>Перечень КСГ, по которым оплата медицинской помощи осуществляется в полном объеме при длительности госпитализации 3 дня и менее приведен таблице 14.</w:t>
      </w:r>
    </w:p>
    <w:p w:rsidR="00B457BE" w:rsidRPr="003C65A5" w:rsidRDefault="00B457BE" w:rsidP="00B457B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65A5">
        <w:rPr>
          <w:sz w:val="24"/>
          <w:szCs w:val="24"/>
        </w:rPr>
        <w:t xml:space="preserve">Перечень КСГ, по которым предполагаются хирургическое лечение или </w:t>
      </w:r>
      <w:proofErr w:type="spellStart"/>
      <w:r w:rsidRPr="003C65A5">
        <w:rPr>
          <w:sz w:val="24"/>
          <w:szCs w:val="24"/>
        </w:rPr>
        <w:t>тромболитическую</w:t>
      </w:r>
      <w:proofErr w:type="spellEnd"/>
      <w:r w:rsidRPr="003C65A5">
        <w:rPr>
          <w:sz w:val="24"/>
          <w:szCs w:val="24"/>
        </w:rPr>
        <w:t xml:space="preserve"> терапию приведен в </w:t>
      </w:r>
      <w:r w:rsidR="002D255C" w:rsidRPr="003C65A5">
        <w:rPr>
          <w:sz w:val="24"/>
          <w:szCs w:val="24"/>
        </w:rPr>
        <w:t>Инструкции.</w:t>
      </w:r>
    </w:p>
    <w:p w:rsidR="00E942CE" w:rsidRPr="003C65A5" w:rsidRDefault="00E942CE" w:rsidP="00D04F62">
      <w:pPr>
        <w:tabs>
          <w:tab w:val="left" w:pos="993"/>
        </w:tabs>
        <w:ind w:firstLine="709"/>
        <w:jc w:val="both"/>
        <w:rPr>
          <w:sz w:val="32"/>
          <w:szCs w:val="32"/>
        </w:rPr>
      </w:pPr>
    </w:p>
    <w:p w:rsidR="00C57623" w:rsidRPr="008F081F" w:rsidRDefault="00C57623" w:rsidP="00C57623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081F">
        <w:rPr>
          <w:rFonts w:ascii="Times New Roman" w:hAnsi="Times New Roman"/>
          <w:sz w:val="24"/>
          <w:szCs w:val="24"/>
          <w:u w:color="000000"/>
          <w:bdr w:val="nil"/>
          <w:lang w:eastAsia="ar-SA"/>
        </w:rPr>
        <w:t>3.8.</w:t>
      </w:r>
      <w:r w:rsidRPr="008F081F">
        <w:rPr>
          <w:sz w:val="24"/>
          <w:szCs w:val="24"/>
          <w:u w:color="000000"/>
          <w:bdr w:val="nil"/>
          <w:lang w:eastAsia="ar-SA"/>
        </w:rPr>
        <w:t xml:space="preserve"> </w:t>
      </w:r>
      <w:r w:rsidRPr="008F081F">
        <w:rPr>
          <w:rFonts w:ascii="Times New Roman" w:hAnsi="Times New Roman"/>
          <w:sz w:val="24"/>
          <w:szCs w:val="24"/>
        </w:rPr>
        <w:t>В случае проведения диализа во время нахождения пациента на лечении в условиях круглосуточного стационара стоимость случая госпитализации увеличивается на сумму стоимости услуг диализа:</w:t>
      </w:r>
    </w:p>
    <w:p w:rsidR="00C57623" w:rsidRPr="008F081F" w:rsidRDefault="00C57623" w:rsidP="00C57623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57623" w:rsidRPr="008F081F" w:rsidRDefault="00C57623" w:rsidP="00C57623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81F">
        <w:rPr>
          <w:rFonts w:ascii="Times New Roman" w:hAnsi="Times New Roman"/>
          <w:sz w:val="24"/>
          <w:szCs w:val="24"/>
        </w:rPr>
        <w:t>Ссл+диализ</w:t>
      </w:r>
      <w:proofErr w:type="spellEnd"/>
      <w:r w:rsidRPr="008F081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8F081F">
        <w:rPr>
          <w:rFonts w:ascii="Times New Roman" w:hAnsi="Times New Roman"/>
          <w:sz w:val="24"/>
          <w:szCs w:val="24"/>
        </w:rPr>
        <w:t>Ссл</w:t>
      </w:r>
      <w:proofErr w:type="spellEnd"/>
      <w:r w:rsidRPr="008F081F">
        <w:rPr>
          <w:rFonts w:ascii="Times New Roman" w:hAnsi="Times New Roman"/>
          <w:sz w:val="24"/>
          <w:szCs w:val="24"/>
        </w:rPr>
        <w:t>+∑</w:t>
      </w:r>
      <w:proofErr w:type="spellStart"/>
      <w:r w:rsidRPr="008F081F">
        <w:rPr>
          <w:rFonts w:ascii="Times New Roman" w:hAnsi="Times New Roman"/>
          <w:sz w:val="24"/>
          <w:szCs w:val="24"/>
        </w:rPr>
        <w:t>БТд</w:t>
      </w:r>
      <w:proofErr w:type="gramStart"/>
      <w:r w:rsidRPr="008F081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8F081F">
        <w:rPr>
          <w:rFonts w:ascii="Times New Roman" w:hAnsi="Times New Roman"/>
          <w:sz w:val="24"/>
          <w:szCs w:val="24"/>
        </w:rPr>
        <w:t>*</w:t>
      </w:r>
      <w:proofErr w:type="spellStart"/>
      <w:r w:rsidRPr="008F081F">
        <w:rPr>
          <w:rFonts w:ascii="Times New Roman" w:hAnsi="Times New Roman"/>
          <w:sz w:val="24"/>
          <w:szCs w:val="24"/>
        </w:rPr>
        <w:t>КЗд</w:t>
      </w:r>
      <w:r w:rsidRPr="008F081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F081F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8F081F">
        <w:rPr>
          <w:rFonts w:ascii="Times New Roman" w:hAnsi="Times New Roman"/>
          <w:sz w:val="24"/>
          <w:szCs w:val="24"/>
        </w:rPr>
        <w:t>Кфi</w:t>
      </w:r>
      <w:proofErr w:type="spellEnd"/>
      <w:r w:rsidRPr="008F08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(6), где </w:t>
      </w:r>
    </w:p>
    <w:p w:rsidR="00C57623" w:rsidRPr="008F081F" w:rsidRDefault="00C57623" w:rsidP="00C57623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57623" w:rsidRPr="008F081F" w:rsidRDefault="00C57623" w:rsidP="00C57623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81F">
        <w:rPr>
          <w:rFonts w:ascii="Times New Roman" w:hAnsi="Times New Roman"/>
          <w:sz w:val="24"/>
          <w:szCs w:val="24"/>
        </w:rPr>
        <w:t>Ссл</w:t>
      </w:r>
      <w:proofErr w:type="spellEnd"/>
      <w:r w:rsidRPr="008F081F">
        <w:rPr>
          <w:rFonts w:ascii="Times New Roman" w:hAnsi="Times New Roman"/>
          <w:sz w:val="24"/>
          <w:szCs w:val="24"/>
        </w:rPr>
        <w:t xml:space="preserve"> - стоимость одного случая госпитализации в стационаре (</w:t>
      </w:r>
      <w:proofErr w:type="spellStart"/>
      <w:r w:rsidRPr="008F081F">
        <w:rPr>
          <w:rFonts w:ascii="Times New Roman" w:hAnsi="Times New Roman"/>
          <w:sz w:val="24"/>
          <w:szCs w:val="24"/>
        </w:rPr>
        <w:t>ССсл</w:t>
      </w:r>
      <w:proofErr w:type="spellEnd"/>
      <w:r w:rsidRPr="008F081F">
        <w:rPr>
          <w:rFonts w:ascii="Times New Roman" w:hAnsi="Times New Roman"/>
          <w:sz w:val="24"/>
          <w:szCs w:val="24"/>
        </w:rPr>
        <w:t>) по КСГ с учетом поправочных коэффициентов;</w:t>
      </w:r>
    </w:p>
    <w:p w:rsidR="00C57623" w:rsidRPr="008F081F" w:rsidRDefault="00C57623" w:rsidP="00C57623">
      <w:pPr>
        <w:ind w:firstLine="709"/>
        <w:contextualSpacing/>
        <w:jc w:val="both"/>
        <w:rPr>
          <w:kern w:val="24"/>
          <w:sz w:val="24"/>
          <w:szCs w:val="24"/>
          <w:u w:color="000000"/>
          <w:bdr w:val="nil"/>
        </w:rPr>
      </w:pPr>
      <w:proofErr w:type="spellStart"/>
      <w:r w:rsidRPr="008F081F">
        <w:rPr>
          <w:sz w:val="24"/>
          <w:szCs w:val="24"/>
        </w:rPr>
        <w:t>БТд</w:t>
      </w:r>
      <w:proofErr w:type="gramStart"/>
      <w:r w:rsidRPr="008F081F">
        <w:rPr>
          <w:sz w:val="24"/>
          <w:szCs w:val="24"/>
          <w:lang w:val="en-US"/>
        </w:rPr>
        <w:t>i</w:t>
      </w:r>
      <w:proofErr w:type="spellEnd"/>
      <w:proofErr w:type="gramEnd"/>
      <w:r w:rsidRPr="008F081F">
        <w:rPr>
          <w:sz w:val="24"/>
          <w:szCs w:val="24"/>
        </w:rPr>
        <w:t xml:space="preserve"> – базовый тариф для оплаты </w:t>
      </w:r>
      <w:proofErr w:type="spellStart"/>
      <w:r w:rsidR="00EF2541" w:rsidRPr="008F081F">
        <w:rPr>
          <w:sz w:val="24"/>
          <w:szCs w:val="24"/>
          <w:lang w:val="en-US"/>
        </w:rPr>
        <w:t>i</w:t>
      </w:r>
      <w:proofErr w:type="spellEnd"/>
      <w:r w:rsidR="00EF2541" w:rsidRPr="008F081F">
        <w:rPr>
          <w:sz w:val="24"/>
          <w:szCs w:val="24"/>
        </w:rPr>
        <w:t xml:space="preserve">-ой </w:t>
      </w:r>
      <w:r w:rsidRPr="008F081F">
        <w:rPr>
          <w:sz w:val="24"/>
          <w:szCs w:val="24"/>
        </w:rPr>
        <w:t>услуг</w:t>
      </w:r>
      <w:r w:rsidR="00EF2541" w:rsidRPr="008F081F">
        <w:rPr>
          <w:sz w:val="24"/>
          <w:szCs w:val="24"/>
        </w:rPr>
        <w:t>и</w:t>
      </w:r>
      <w:r w:rsidRPr="008F081F">
        <w:rPr>
          <w:sz w:val="24"/>
          <w:szCs w:val="24"/>
        </w:rPr>
        <w:t xml:space="preserve"> диализа;</w:t>
      </w:r>
      <w:r w:rsidRPr="008F081F">
        <w:rPr>
          <w:kern w:val="24"/>
          <w:sz w:val="24"/>
          <w:szCs w:val="24"/>
          <w:u w:color="000000"/>
          <w:bdr w:val="nil"/>
        </w:rPr>
        <w:t xml:space="preserve"> </w:t>
      </w:r>
    </w:p>
    <w:p w:rsidR="00C57623" w:rsidRPr="008F081F" w:rsidRDefault="00C57623" w:rsidP="00C57623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081F">
        <w:rPr>
          <w:rFonts w:ascii="Times New Roman" w:hAnsi="Times New Roman"/>
          <w:sz w:val="24"/>
          <w:szCs w:val="24"/>
        </w:rPr>
        <w:t>КЗд</w:t>
      </w:r>
      <w:r w:rsidRPr="008F081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F081F">
        <w:rPr>
          <w:rFonts w:ascii="Times New Roman" w:hAnsi="Times New Roman"/>
          <w:sz w:val="24"/>
          <w:szCs w:val="24"/>
        </w:rPr>
        <w:t xml:space="preserve"> – коэффициент относительной </w:t>
      </w:r>
      <w:proofErr w:type="spellStart"/>
      <w:r w:rsidRPr="008F081F">
        <w:rPr>
          <w:rFonts w:ascii="Times New Roman" w:hAnsi="Times New Roman"/>
          <w:sz w:val="24"/>
          <w:szCs w:val="24"/>
        </w:rPr>
        <w:t>затратоемкости</w:t>
      </w:r>
      <w:proofErr w:type="spellEnd"/>
      <w:r w:rsidRPr="008F081F">
        <w:rPr>
          <w:rFonts w:ascii="Times New Roman" w:hAnsi="Times New Roman"/>
          <w:sz w:val="24"/>
          <w:szCs w:val="24"/>
        </w:rPr>
        <w:t xml:space="preserve"> к базовому тарифу для оплаты услуг диализа (таблица </w:t>
      </w:r>
      <w:r w:rsidR="00F21B07" w:rsidRPr="008F081F">
        <w:rPr>
          <w:rFonts w:ascii="Times New Roman" w:hAnsi="Times New Roman"/>
          <w:sz w:val="24"/>
          <w:szCs w:val="24"/>
        </w:rPr>
        <w:t>10</w:t>
      </w:r>
      <w:r w:rsidRPr="008F081F">
        <w:rPr>
          <w:rFonts w:ascii="Times New Roman" w:hAnsi="Times New Roman"/>
          <w:sz w:val="24"/>
          <w:szCs w:val="24"/>
        </w:rPr>
        <w:t>);</w:t>
      </w:r>
      <w:proofErr w:type="gramEnd"/>
    </w:p>
    <w:p w:rsidR="00C57623" w:rsidRPr="008F081F" w:rsidRDefault="00C57623" w:rsidP="00C57623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81F">
        <w:rPr>
          <w:rFonts w:ascii="Times New Roman" w:hAnsi="Times New Roman"/>
          <w:sz w:val="24"/>
          <w:szCs w:val="24"/>
        </w:rPr>
        <w:t>Кф</w:t>
      </w:r>
      <w:r w:rsidRPr="008F081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F081F">
        <w:rPr>
          <w:rFonts w:ascii="Times New Roman" w:hAnsi="Times New Roman"/>
          <w:sz w:val="24"/>
          <w:szCs w:val="24"/>
        </w:rPr>
        <w:t xml:space="preserve"> – фактическое число проведенных </w:t>
      </w:r>
      <w:r w:rsidR="00B40E24">
        <w:rPr>
          <w:rFonts w:ascii="Times New Roman" w:eastAsia="Times New Roman" w:hAnsi="Times New Roman"/>
          <w:sz w:val="24"/>
          <w:szCs w:val="24"/>
          <w:lang w:eastAsia="ru-RU"/>
        </w:rPr>
        <w:t>i-</w:t>
      </w:r>
      <w:proofErr w:type="spellStart"/>
      <w:r w:rsidR="00B40E2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EF2541" w:rsidRPr="008F081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Pr="008F081F">
        <w:rPr>
          <w:rFonts w:ascii="Times New Roman" w:hAnsi="Times New Roman"/>
          <w:sz w:val="24"/>
          <w:szCs w:val="24"/>
        </w:rPr>
        <w:t xml:space="preserve"> диализа во время нахождения в </w:t>
      </w:r>
      <w:proofErr w:type="gramStart"/>
      <w:r w:rsidRPr="008F081F">
        <w:rPr>
          <w:rFonts w:ascii="Times New Roman" w:hAnsi="Times New Roman"/>
          <w:sz w:val="24"/>
          <w:szCs w:val="24"/>
        </w:rPr>
        <w:t>стационаре</w:t>
      </w:r>
      <w:proofErr w:type="gramEnd"/>
      <w:r w:rsidRPr="008F081F">
        <w:rPr>
          <w:rFonts w:ascii="Times New Roman" w:hAnsi="Times New Roman"/>
          <w:sz w:val="24"/>
          <w:szCs w:val="24"/>
        </w:rPr>
        <w:t>.</w:t>
      </w:r>
    </w:p>
    <w:p w:rsidR="00C57623" w:rsidRPr="008F081F" w:rsidRDefault="00C57623" w:rsidP="00C57623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24"/>
        </w:rPr>
      </w:pPr>
    </w:p>
    <w:p w:rsidR="00B40E24" w:rsidRPr="00955844" w:rsidRDefault="00B40E24" w:rsidP="00B40E24">
      <w:pPr>
        <w:widowControl w:val="0"/>
        <w:suppressAutoHyphens/>
        <w:autoSpaceDE w:val="0"/>
        <w:ind w:firstLine="709"/>
        <w:jc w:val="both"/>
        <w:rPr>
          <w:kern w:val="24"/>
          <w:sz w:val="24"/>
          <w:szCs w:val="24"/>
          <w:lang w:eastAsia="ar-SA"/>
        </w:rPr>
      </w:pPr>
      <w:r w:rsidRPr="00B40E24">
        <w:rPr>
          <w:sz w:val="24"/>
          <w:szCs w:val="24"/>
        </w:rPr>
        <w:t xml:space="preserve">Размер базового тарифа </w:t>
      </w:r>
      <w:proofErr w:type="spellStart"/>
      <w:r w:rsidRPr="00B40E24">
        <w:rPr>
          <w:sz w:val="24"/>
          <w:szCs w:val="24"/>
        </w:rPr>
        <w:t>БТд</w:t>
      </w:r>
      <w:proofErr w:type="gramStart"/>
      <w:r w:rsidRPr="00B40E24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40E24">
        <w:rPr>
          <w:sz w:val="24"/>
          <w:szCs w:val="24"/>
        </w:rPr>
        <w:t xml:space="preserve"> для оплаты услуг </w:t>
      </w:r>
      <w:r w:rsidRPr="00B40E24">
        <w:rPr>
          <w:kern w:val="24"/>
          <w:sz w:val="24"/>
          <w:szCs w:val="24"/>
          <w:lang w:eastAsia="ar-SA"/>
        </w:rPr>
        <w:t xml:space="preserve">гемодиализа (код услуги А18.05.002 «Гемодиализ») и размер базового тарифа на оплату услуг </w:t>
      </w:r>
      <w:proofErr w:type="spellStart"/>
      <w:r w:rsidRPr="00B40E24">
        <w:rPr>
          <w:kern w:val="24"/>
          <w:sz w:val="24"/>
          <w:szCs w:val="24"/>
          <w:lang w:eastAsia="ar-SA"/>
        </w:rPr>
        <w:t>перитонеального</w:t>
      </w:r>
      <w:proofErr w:type="spellEnd"/>
      <w:r w:rsidRPr="00B40E24">
        <w:rPr>
          <w:kern w:val="24"/>
          <w:sz w:val="24"/>
          <w:szCs w:val="24"/>
          <w:lang w:eastAsia="ar-SA"/>
        </w:rPr>
        <w:t xml:space="preserve"> диализа (код услуги А18.30.001 «</w:t>
      </w:r>
      <w:proofErr w:type="spellStart"/>
      <w:r w:rsidRPr="00B40E24">
        <w:rPr>
          <w:kern w:val="24"/>
          <w:sz w:val="24"/>
          <w:szCs w:val="24"/>
          <w:lang w:eastAsia="ar-SA"/>
        </w:rPr>
        <w:t>Перитонеальный</w:t>
      </w:r>
      <w:proofErr w:type="spellEnd"/>
      <w:r w:rsidRPr="00B40E24">
        <w:rPr>
          <w:kern w:val="24"/>
          <w:sz w:val="24"/>
          <w:szCs w:val="24"/>
          <w:lang w:eastAsia="ar-SA"/>
        </w:rPr>
        <w:t xml:space="preserve"> диализ») установлен п. 3.7.1. Тарифного соглашения.</w:t>
      </w:r>
    </w:p>
    <w:p w:rsidR="00C57623" w:rsidRPr="008F081F" w:rsidRDefault="00C57623" w:rsidP="00C57623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</w:p>
    <w:p w:rsidR="005A5995" w:rsidRDefault="00C57623" w:rsidP="00C57623">
      <w:pPr>
        <w:widowControl w:val="0"/>
        <w:suppressAutoHyphens/>
        <w:autoSpaceDE w:val="0"/>
        <w:ind w:firstLine="709"/>
        <w:jc w:val="center"/>
        <w:rPr>
          <w:sz w:val="24"/>
          <w:szCs w:val="24"/>
          <w:lang w:eastAsia="ar-SA"/>
        </w:rPr>
      </w:pPr>
      <w:r w:rsidRPr="008F081F">
        <w:rPr>
          <w:sz w:val="24"/>
          <w:szCs w:val="24"/>
          <w:lang w:eastAsia="ar-SA"/>
        </w:rPr>
        <w:t xml:space="preserve">Коэффициенты </w:t>
      </w:r>
      <w:proofErr w:type="gramStart"/>
      <w:r w:rsidRPr="008F081F">
        <w:rPr>
          <w:sz w:val="24"/>
          <w:szCs w:val="24"/>
          <w:lang w:eastAsia="ar-SA"/>
        </w:rPr>
        <w:t>относительной</w:t>
      </w:r>
      <w:proofErr w:type="gramEnd"/>
      <w:r w:rsidRPr="008F081F">
        <w:rPr>
          <w:sz w:val="24"/>
          <w:szCs w:val="24"/>
          <w:lang w:eastAsia="ar-SA"/>
        </w:rPr>
        <w:t xml:space="preserve"> </w:t>
      </w:r>
      <w:proofErr w:type="spellStart"/>
      <w:r w:rsidRPr="008F081F">
        <w:rPr>
          <w:sz w:val="24"/>
          <w:szCs w:val="24"/>
          <w:lang w:eastAsia="ar-SA"/>
        </w:rPr>
        <w:t>затратоемкости</w:t>
      </w:r>
      <w:proofErr w:type="spellEnd"/>
      <w:r w:rsidRPr="008F081F">
        <w:rPr>
          <w:sz w:val="24"/>
          <w:szCs w:val="24"/>
          <w:lang w:eastAsia="ar-SA"/>
        </w:rPr>
        <w:t xml:space="preserve"> (</w:t>
      </w:r>
      <w:proofErr w:type="spellStart"/>
      <w:r w:rsidRPr="008F081F">
        <w:rPr>
          <w:sz w:val="24"/>
          <w:szCs w:val="24"/>
          <w:lang w:eastAsia="ar-SA"/>
        </w:rPr>
        <w:t>КЗд</w:t>
      </w:r>
      <w:r w:rsidRPr="008F081F">
        <w:rPr>
          <w:sz w:val="24"/>
          <w:szCs w:val="24"/>
          <w:lang w:val="en-US" w:eastAsia="ar-SA"/>
        </w:rPr>
        <w:t>i</w:t>
      </w:r>
      <w:proofErr w:type="spellEnd"/>
      <w:r w:rsidRPr="008F081F">
        <w:rPr>
          <w:sz w:val="24"/>
          <w:szCs w:val="24"/>
          <w:lang w:eastAsia="ar-SA"/>
        </w:rPr>
        <w:t>)</w:t>
      </w:r>
    </w:p>
    <w:p w:rsidR="00C57623" w:rsidRPr="008F081F" w:rsidRDefault="00C57623" w:rsidP="00C57623">
      <w:pPr>
        <w:widowControl w:val="0"/>
        <w:suppressAutoHyphens/>
        <w:autoSpaceDE w:val="0"/>
        <w:ind w:firstLine="709"/>
        <w:jc w:val="center"/>
        <w:rPr>
          <w:sz w:val="24"/>
          <w:szCs w:val="24"/>
          <w:lang w:eastAsia="ar-SA"/>
        </w:rPr>
      </w:pPr>
      <w:r w:rsidRPr="008F081F">
        <w:rPr>
          <w:sz w:val="24"/>
          <w:szCs w:val="24"/>
          <w:lang w:eastAsia="ar-SA"/>
        </w:rPr>
        <w:t>к базовому тарифу для оплаты услуг диализа</w:t>
      </w:r>
    </w:p>
    <w:p w:rsidR="00C57623" w:rsidRPr="008F081F" w:rsidRDefault="00C57623" w:rsidP="00C57623">
      <w:pPr>
        <w:widowControl w:val="0"/>
        <w:suppressAutoHyphens/>
        <w:autoSpaceDE w:val="0"/>
        <w:ind w:firstLine="709"/>
        <w:jc w:val="right"/>
        <w:rPr>
          <w:sz w:val="24"/>
          <w:szCs w:val="24"/>
          <w:lang w:eastAsia="ar-SA"/>
        </w:rPr>
      </w:pPr>
      <w:r w:rsidRPr="008F081F">
        <w:rPr>
          <w:sz w:val="24"/>
          <w:szCs w:val="24"/>
          <w:lang w:eastAsia="ar-SA"/>
        </w:rPr>
        <w:t xml:space="preserve">Таблица </w:t>
      </w:r>
      <w:r w:rsidR="00F21B07" w:rsidRPr="008F081F">
        <w:rPr>
          <w:sz w:val="24"/>
          <w:szCs w:val="24"/>
          <w:lang w:eastAsia="ar-SA"/>
        </w:rPr>
        <w:t>10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701"/>
        <w:gridCol w:w="4253"/>
        <w:gridCol w:w="1275"/>
        <w:gridCol w:w="1985"/>
      </w:tblGrid>
      <w:tr w:rsidR="00C57623" w:rsidRPr="008F081F" w:rsidTr="003B115D">
        <w:trPr>
          <w:trHeight w:val="7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Код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Единица оплаты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 xml:space="preserve">Значение коэффициента  </w:t>
            </w:r>
            <w:proofErr w:type="gramStart"/>
            <w:r w:rsidRPr="008F081F">
              <w:rPr>
                <w:color w:val="000000"/>
              </w:rPr>
              <w:t>относительной</w:t>
            </w:r>
            <w:proofErr w:type="gramEnd"/>
            <w:r w:rsidRPr="008F081F">
              <w:rPr>
                <w:color w:val="000000"/>
              </w:rPr>
              <w:t xml:space="preserve"> </w:t>
            </w:r>
            <w:proofErr w:type="spellStart"/>
            <w:r w:rsidRPr="008F081F">
              <w:rPr>
                <w:color w:val="000000"/>
              </w:rPr>
              <w:t>затратоемкости</w:t>
            </w:r>
            <w:proofErr w:type="spellEnd"/>
            <w:r w:rsidRPr="008F081F">
              <w:rPr>
                <w:color w:val="000000"/>
              </w:rPr>
              <w:t xml:space="preserve"> (</w:t>
            </w:r>
            <w:proofErr w:type="spellStart"/>
            <w:r w:rsidRPr="008F081F">
              <w:rPr>
                <w:color w:val="000000"/>
              </w:rPr>
              <w:t>КЗд</w:t>
            </w:r>
            <w:r w:rsidRPr="008F081F">
              <w:rPr>
                <w:color w:val="000000"/>
                <w:lang w:val="en-US"/>
              </w:rPr>
              <w:t>i</w:t>
            </w:r>
            <w:proofErr w:type="spellEnd"/>
            <w:r w:rsidRPr="008F081F">
              <w:rPr>
                <w:color w:val="000000"/>
              </w:rPr>
              <w:t>)</w:t>
            </w:r>
          </w:p>
        </w:tc>
      </w:tr>
      <w:tr w:rsidR="00992B59" w:rsidRPr="008F081F" w:rsidTr="005C0DEA">
        <w:trPr>
          <w:trHeight w:val="359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59" w:rsidRPr="008F081F" w:rsidRDefault="00992B59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Услуги гемодиализа</w:t>
            </w:r>
          </w:p>
        </w:tc>
      </w:tr>
      <w:tr w:rsidR="00C57623" w:rsidRPr="008F081F" w:rsidTr="003B115D">
        <w:trPr>
          <w:trHeight w:val="3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r w:rsidRPr="008F081F">
              <w:rPr>
                <w:color w:val="000000"/>
              </w:rPr>
              <w:t>Гемодиализ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1,00</w:t>
            </w:r>
          </w:p>
        </w:tc>
      </w:tr>
      <w:tr w:rsidR="00C57623" w:rsidRPr="008F081F" w:rsidTr="003B115D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A18.05.002.002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r w:rsidRPr="008F081F">
              <w:rPr>
                <w:color w:val="000000"/>
              </w:rPr>
              <w:t xml:space="preserve">Гемодиализ </w:t>
            </w:r>
            <w:proofErr w:type="spellStart"/>
            <w:r w:rsidRPr="008F081F">
              <w:rPr>
                <w:color w:val="000000"/>
              </w:rPr>
              <w:t>интермиттирующий</w:t>
            </w:r>
            <w:proofErr w:type="spellEnd"/>
            <w:r w:rsidRPr="008F081F">
              <w:rPr>
                <w:color w:val="000000"/>
              </w:rPr>
              <w:t xml:space="preserve"> </w:t>
            </w:r>
            <w:proofErr w:type="spellStart"/>
            <w:r w:rsidRPr="008F081F">
              <w:rPr>
                <w:color w:val="000000"/>
              </w:rPr>
              <w:t>низкопоточный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1,00</w:t>
            </w:r>
          </w:p>
        </w:tc>
      </w:tr>
      <w:tr w:rsidR="00C57623" w:rsidRPr="008F081F" w:rsidTr="003B115D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A18.05.002.001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r w:rsidRPr="008F081F">
              <w:rPr>
                <w:color w:val="000000"/>
              </w:rPr>
              <w:t xml:space="preserve">Гемодиализ </w:t>
            </w:r>
            <w:proofErr w:type="spellStart"/>
            <w:r w:rsidRPr="008F081F">
              <w:rPr>
                <w:color w:val="000000"/>
              </w:rPr>
              <w:t>интермиттирующий</w:t>
            </w:r>
            <w:proofErr w:type="spellEnd"/>
            <w:r w:rsidRPr="008F081F">
              <w:rPr>
                <w:color w:val="000000"/>
              </w:rPr>
              <w:t xml:space="preserve"> </w:t>
            </w:r>
            <w:proofErr w:type="spellStart"/>
            <w:r w:rsidRPr="008F081F">
              <w:rPr>
                <w:color w:val="000000"/>
              </w:rPr>
              <w:t>высокопоточный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1,05</w:t>
            </w:r>
          </w:p>
        </w:tc>
      </w:tr>
      <w:tr w:rsidR="00C57623" w:rsidRPr="008F081F" w:rsidTr="003B115D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proofErr w:type="spellStart"/>
            <w:r w:rsidRPr="008F081F">
              <w:rPr>
                <w:color w:val="000000"/>
              </w:rPr>
              <w:t>Гемодиафильтрация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1,08</w:t>
            </w:r>
          </w:p>
        </w:tc>
      </w:tr>
      <w:tr w:rsidR="00C57623" w:rsidRPr="008F081F" w:rsidTr="00C5762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r w:rsidRPr="008F081F">
              <w:rPr>
                <w:color w:val="000000"/>
              </w:rPr>
              <w:t>Ультрафильтрация крови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0,92</w:t>
            </w:r>
          </w:p>
        </w:tc>
      </w:tr>
      <w:tr w:rsidR="00C57623" w:rsidRPr="008F081F" w:rsidTr="003B115D">
        <w:trPr>
          <w:trHeight w:val="5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A18.05.002.003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r w:rsidRPr="008F081F">
              <w:rPr>
                <w:color w:val="000000"/>
              </w:rPr>
              <w:t xml:space="preserve">Гемодиализ </w:t>
            </w:r>
            <w:proofErr w:type="spellStart"/>
            <w:r w:rsidRPr="008F081F">
              <w:rPr>
                <w:color w:val="000000"/>
              </w:rPr>
              <w:t>интермиттирующий</w:t>
            </w:r>
            <w:proofErr w:type="spellEnd"/>
            <w:r w:rsidRPr="008F081F">
              <w:rPr>
                <w:color w:val="000000"/>
              </w:rPr>
              <w:t xml:space="preserve"> продленный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2,76</w:t>
            </w:r>
          </w:p>
        </w:tc>
      </w:tr>
      <w:tr w:rsidR="00C57623" w:rsidRPr="008F081F" w:rsidTr="003B115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proofErr w:type="spellStart"/>
            <w:r w:rsidRPr="008F081F">
              <w:rPr>
                <w:color w:val="000000"/>
              </w:rPr>
              <w:t>Гемофильтрация</w:t>
            </w:r>
            <w:proofErr w:type="spellEnd"/>
            <w:r w:rsidRPr="008F081F">
              <w:rPr>
                <w:color w:val="000000"/>
              </w:rPr>
              <w:t xml:space="preserve">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2,88</w:t>
            </w:r>
          </w:p>
        </w:tc>
      </w:tr>
      <w:tr w:rsidR="00C57623" w:rsidRPr="008F081F" w:rsidTr="003B115D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A18.05.004.001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r w:rsidRPr="008F081F">
              <w:rPr>
                <w:color w:val="000000"/>
              </w:rPr>
              <w:t>Ультрафильтрация продленная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2,51</w:t>
            </w:r>
          </w:p>
        </w:tc>
      </w:tr>
      <w:tr w:rsidR="00C57623" w:rsidRPr="008F081F" w:rsidTr="003B115D"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A18.05.011.001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proofErr w:type="spellStart"/>
            <w:r w:rsidRPr="008F081F">
              <w:rPr>
                <w:color w:val="000000"/>
              </w:rPr>
              <w:t>Гемодиафильтрация</w:t>
            </w:r>
            <w:proofErr w:type="spellEnd"/>
            <w:r w:rsidRPr="008F081F">
              <w:rPr>
                <w:color w:val="000000"/>
              </w:rPr>
              <w:t xml:space="preserve"> продленная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3,01</w:t>
            </w:r>
          </w:p>
        </w:tc>
      </w:tr>
      <w:tr w:rsidR="00C57623" w:rsidRPr="008F081F" w:rsidTr="003B115D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A18.05.002.005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r w:rsidRPr="008F081F">
              <w:rPr>
                <w:color w:val="000000"/>
              </w:rPr>
              <w:t>Гемодиализ продолжительный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5,23</w:t>
            </w:r>
          </w:p>
        </w:tc>
      </w:tr>
      <w:tr w:rsidR="00C57623" w:rsidRPr="008F081F" w:rsidTr="003B115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A18.05.003.002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proofErr w:type="spellStart"/>
            <w:r w:rsidRPr="008F081F">
              <w:rPr>
                <w:color w:val="000000"/>
              </w:rPr>
              <w:t>Гемофильтрация</w:t>
            </w:r>
            <w:proofErr w:type="spellEnd"/>
            <w:r w:rsidRPr="008F081F">
              <w:rPr>
                <w:color w:val="000000"/>
              </w:rPr>
              <w:t xml:space="preserve"> крови </w:t>
            </w:r>
            <w:proofErr w:type="gramStart"/>
            <w:r w:rsidRPr="008F081F">
              <w:rPr>
                <w:color w:val="000000"/>
              </w:rPr>
              <w:t>продолжительная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5,48</w:t>
            </w:r>
          </w:p>
        </w:tc>
      </w:tr>
      <w:tr w:rsidR="00C57623" w:rsidRPr="008F081F" w:rsidTr="003B115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A18.05.011.002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proofErr w:type="spellStart"/>
            <w:r w:rsidRPr="008F081F">
              <w:rPr>
                <w:color w:val="000000"/>
              </w:rPr>
              <w:t>Гемодиафильтрация</w:t>
            </w:r>
            <w:proofErr w:type="spellEnd"/>
            <w:r w:rsidRPr="008F081F">
              <w:rPr>
                <w:color w:val="000000"/>
              </w:rPr>
              <w:t xml:space="preserve"> продолжительная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5,73</w:t>
            </w:r>
          </w:p>
        </w:tc>
      </w:tr>
      <w:tr w:rsidR="00992B59" w:rsidRPr="008F081F" w:rsidTr="005C0DEA">
        <w:trPr>
          <w:trHeight w:val="365"/>
        </w:trPr>
        <w:tc>
          <w:tcPr>
            <w:tcW w:w="9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B59" w:rsidRPr="008F081F" w:rsidRDefault="00992B59" w:rsidP="00992B59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 xml:space="preserve">Услуги </w:t>
            </w:r>
            <w:proofErr w:type="spellStart"/>
            <w:r w:rsidRPr="008F081F">
              <w:rPr>
                <w:color w:val="000000"/>
              </w:rPr>
              <w:t>перитониального</w:t>
            </w:r>
            <w:proofErr w:type="spellEnd"/>
            <w:r w:rsidRPr="008F081F">
              <w:rPr>
                <w:color w:val="000000"/>
              </w:rPr>
              <w:t xml:space="preserve"> диализа</w:t>
            </w:r>
          </w:p>
        </w:tc>
      </w:tr>
      <w:tr w:rsidR="00C57623" w:rsidRPr="008F081F" w:rsidTr="003B115D">
        <w:trPr>
          <w:trHeight w:val="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A18.30.001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proofErr w:type="spellStart"/>
            <w:r w:rsidRPr="008F081F">
              <w:rPr>
                <w:color w:val="000000"/>
              </w:rPr>
              <w:t>Перитонеальный</w:t>
            </w:r>
            <w:proofErr w:type="spellEnd"/>
            <w:r w:rsidRPr="008F081F">
              <w:rPr>
                <w:color w:val="000000"/>
              </w:rPr>
              <w:t xml:space="preserve"> диализ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день обмена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1,00</w:t>
            </w:r>
          </w:p>
        </w:tc>
      </w:tr>
      <w:tr w:rsidR="00C57623" w:rsidRPr="008F081F" w:rsidTr="003B115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A18.30.001.001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proofErr w:type="spellStart"/>
            <w:r w:rsidRPr="008F081F">
              <w:rPr>
                <w:color w:val="000000"/>
              </w:rPr>
              <w:t>Перитонеальный</w:t>
            </w:r>
            <w:proofErr w:type="spellEnd"/>
            <w:r w:rsidRPr="008F081F">
              <w:rPr>
                <w:color w:val="000000"/>
              </w:rPr>
              <w:t xml:space="preserve"> диализ проточный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день обмена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4,92</w:t>
            </w:r>
          </w:p>
        </w:tc>
      </w:tr>
      <w:tr w:rsidR="00C57623" w:rsidRPr="008F081F" w:rsidTr="003B115D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A18.30.001.002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proofErr w:type="spellStart"/>
            <w:r w:rsidRPr="008F081F">
              <w:rPr>
                <w:color w:val="000000"/>
              </w:rPr>
              <w:t>Перитонеальный</w:t>
            </w:r>
            <w:proofErr w:type="spellEnd"/>
            <w:r w:rsidRPr="008F081F">
              <w:rPr>
                <w:color w:val="000000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день обмена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1,24</w:t>
            </w:r>
          </w:p>
        </w:tc>
      </w:tr>
      <w:tr w:rsidR="00C57623" w:rsidRPr="008F081F" w:rsidTr="003B115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91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57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A18.30.001.003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34"/>
              <w:rPr>
                <w:color w:val="000000"/>
              </w:rPr>
            </w:pPr>
            <w:proofErr w:type="spellStart"/>
            <w:r w:rsidRPr="008F081F">
              <w:rPr>
                <w:color w:val="000000"/>
              </w:rPr>
              <w:t>Перитонеальный</w:t>
            </w:r>
            <w:proofErr w:type="spellEnd"/>
            <w:r w:rsidRPr="008F081F">
              <w:rPr>
                <w:color w:val="000000"/>
              </w:rPr>
              <w:t xml:space="preserve"> диализ при нарушении ультрафильтрации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день обмена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623" w:rsidRPr="008F081F" w:rsidRDefault="00C57623" w:rsidP="003B115D">
            <w:pPr>
              <w:ind w:firstLine="122"/>
              <w:jc w:val="center"/>
              <w:rPr>
                <w:color w:val="000000"/>
              </w:rPr>
            </w:pPr>
            <w:r w:rsidRPr="008F081F">
              <w:rPr>
                <w:color w:val="000000"/>
              </w:rPr>
              <w:t>1,09</w:t>
            </w:r>
          </w:p>
        </w:tc>
      </w:tr>
    </w:tbl>
    <w:p w:rsidR="00D04F62" w:rsidRPr="008F081F" w:rsidRDefault="00D04F62" w:rsidP="00D04F62">
      <w:pPr>
        <w:tabs>
          <w:tab w:val="left" w:pos="993"/>
        </w:tabs>
        <w:ind w:firstLine="709"/>
        <w:jc w:val="both"/>
        <w:rPr>
          <w:color w:val="FF0000"/>
          <w:sz w:val="24"/>
          <w:szCs w:val="24"/>
        </w:rPr>
      </w:pPr>
    </w:p>
    <w:p w:rsidR="00D04F62" w:rsidRPr="008F081F" w:rsidRDefault="00D04F62" w:rsidP="00D04F62">
      <w:pPr>
        <w:widowControl w:val="0"/>
        <w:suppressAutoHyphens/>
        <w:autoSpaceDE w:val="0"/>
        <w:ind w:firstLine="709"/>
        <w:jc w:val="both"/>
        <w:rPr>
          <w:sz w:val="24"/>
          <w:szCs w:val="24"/>
          <w:u w:color="000000"/>
          <w:bdr w:val="nil"/>
        </w:rPr>
      </w:pPr>
      <w:r w:rsidRPr="008F081F">
        <w:rPr>
          <w:sz w:val="24"/>
          <w:szCs w:val="24"/>
          <w:u w:color="000000"/>
          <w:bdr w:val="nil"/>
        </w:rPr>
        <w:t>3.9. Обязательный контроль объемов</w:t>
      </w:r>
      <w:r w:rsidR="00BD19B3" w:rsidRPr="008F081F">
        <w:rPr>
          <w:sz w:val="24"/>
          <w:szCs w:val="24"/>
          <w:u w:color="000000"/>
          <w:bdr w:val="nil"/>
        </w:rPr>
        <w:t>,</w:t>
      </w:r>
      <w:r w:rsidRPr="008F081F">
        <w:rPr>
          <w:sz w:val="24"/>
          <w:szCs w:val="24"/>
          <w:u w:color="000000"/>
          <w:bdr w:val="nil"/>
        </w:rPr>
        <w:t xml:space="preserve"> сроков</w:t>
      </w:r>
      <w:r w:rsidR="00BD19B3" w:rsidRPr="008F081F">
        <w:rPr>
          <w:sz w:val="24"/>
          <w:szCs w:val="24"/>
          <w:u w:color="000000"/>
          <w:bdr w:val="nil"/>
        </w:rPr>
        <w:t>,</w:t>
      </w:r>
      <w:r w:rsidRPr="008F081F">
        <w:rPr>
          <w:sz w:val="24"/>
          <w:szCs w:val="24"/>
          <w:u w:color="000000"/>
          <w:bdr w:val="nil"/>
        </w:rPr>
        <w:t xml:space="preserve"> качества и условий предоставления медицинской помощи проводится по следующим случаям лечения:</w:t>
      </w:r>
    </w:p>
    <w:p w:rsidR="00D04F62" w:rsidRPr="008F081F" w:rsidRDefault="00D04F62" w:rsidP="00D04F62">
      <w:pPr>
        <w:widowControl w:val="0"/>
        <w:suppressAutoHyphens/>
        <w:autoSpaceDE w:val="0"/>
        <w:ind w:firstLine="709"/>
        <w:jc w:val="both"/>
        <w:rPr>
          <w:sz w:val="24"/>
          <w:szCs w:val="24"/>
          <w:u w:color="000000"/>
          <w:bdr w:val="nil"/>
        </w:rPr>
      </w:pPr>
      <w:r w:rsidRPr="008F081F">
        <w:rPr>
          <w:sz w:val="24"/>
          <w:szCs w:val="24"/>
          <w:u w:color="000000"/>
          <w:bdr w:val="nil"/>
        </w:rPr>
        <w:t xml:space="preserve">- в </w:t>
      </w:r>
      <w:proofErr w:type="gramStart"/>
      <w:r w:rsidRPr="008F081F">
        <w:rPr>
          <w:sz w:val="24"/>
          <w:szCs w:val="24"/>
          <w:u w:color="000000"/>
          <w:bdr w:val="nil"/>
        </w:rPr>
        <w:t>случаях</w:t>
      </w:r>
      <w:proofErr w:type="gramEnd"/>
      <w:r w:rsidRPr="008F081F">
        <w:rPr>
          <w:sz w:val="24"/>
          <w:szCs w:val="24"/>
          <w:u w:color="000000"/>
          <w:bdr w:val="nil"/>
        </w:rPr>
        <w:t xml:space="preserve"> оплаты законченного случая лечения по 2 КСГ проводится МЭЭ (при необходимости - ЭКМП);</w:t>
      </w:r>
    </w:p>
    <w:p w:rsidR="00D04F62" w:rsidRPr="008F081F" w:rsidRDefault="00D04F62" w:rsidP="00D04F62">
      <w:pPr>
        <w:widowControl w:val="0"/>
        <w:suppressAutoHyphens/>
        <w:autoSpaceDE w:val="0"/>
        <w:ind w:firstLine="709"/>
        <w:jc w:val="both"/>
        <w:rPr>
          <w:sz w:val="24"/>
          <w:szCs w:val="24"/>
          <w:u w:color="000000"/>
          <w:bdr w:val="nil"/>
        </w:rPr>
      </w:pPr>
      <w:r w:rsidRPr="008F081F">
        <w:rPr>
          <w:sz w:val="24"/>
          <w:szCs w:val="24"/>
          <w:u w:color="000000"/>
          <w:bdr w:val="nil"/>
        </w:rPr>
        <w:t xml:space="preserve">- в </w:t>
      </w:r>
      <w:proofErr w:type="gramStart"/>
      <w:r w:rsidRPr="008F081F">
        <w:rPr>
          <w:sz w:val="24"/>
          <w:szCs w:val="24"/>
          <w:u w:color="000000"/>
          <w:bdr w:val="nil"/>
        </w:rPr>
        <w:t>случаях</w:t>
      </w:r>
      <w:proofErr w:type="gramEnd"/>
      <w:r w:rsidRPr="008F081F">
        <w:rPr>
          <w:sz w:val="24"/>
          <w:szCs w:val="24"/>
          <w:u w:color="000000"/>
          <w:bdr w:val="nil"/>
        </w:rPr>
        <w:t xml:space="preserve"> с летальным исходом проводится ЭКМП.</w:t>
      </w:r>
    </w:p>
    <w:p w:rsidR="00D04F62" w:rsidRPr="008F081F" w:rsidRDefault="00D04F62" w:rsidP="00D04F6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ind w:firstLine="709"/>
        <w:jc w:val="both"/>
        <w:rPr>
          <w:sz w:val="24"/>
          <w:szCs w:val="24"/>
          <w:u w:color="000000"/>
          <w:bdr w:val="nil"/>
        </w:rPr>
      </w:pPr>
      <w:r w:rsidRPr="008F081F">
        <w:rPr>
          <w:sz w:val="24"/>
          <w:szCs w:val="24"/>
          <w:u w:color="000000"/>
        </w:rPr>
        <w:t>4. Определение стоимости высокотехнологичной</w:t>
      </w:r>
      <w:r w:rsidRPr="008F081F">
        <w:rPr>
          <w:sz w:val="24"/>
          <w:szCs w:val="24"/>
          <w:u w:color="000000"/>
          <w:bdr w:val="nil"/>
        </w:rPr>
        <w:t xml:space="preserve"> медицинской помощи</w:t>
      </w:r>
      <w:r w:rsidR="00BD19B3" w:rsidRPr="008F081F">
        <w:rPr>
          <w:sz w:val="24"/>
          <w:szCs w:val="24"/>
          <w:u w:color="000000"/>
          <w:bdr w:val="nil"/>
        </w:rPr>
        <w:t>,</w:t>
      </w:r>
      <w:r w:rsidRPr="008F081F">
        <w:rPr>
          <w:sz w:val="24"/>
          <w:szCs w:val="24"/>
          <w:u w:color="000000"/>
          <w:bdr w:val="nil"/>
        </w:rPr>
        <w:t xml:space="preserve"> включенной в базовую программу ОМС</w:t>
      </w:r>
      <w:r w:rsidR="00BD19B3" w:rsidRPr="008F081F">
        <w:rPr>
          <w:sz w:val="24"/>
          <w:szCs w:val="24"/>
          <w:u w:color="000000"/>
          <w:bdr w:val="nil"/>
        </w:rPr>
        <w:t>,</w:t>
      </w:r>
      <w:r w:rsidRPr="008F081F">
        <w:rPr>
          <w:sz w:val="24"/>
          <w:szCs w:val="24"/>
          <w:u w:color="000000"/>
          <w:bdr w:val="nil"/>
        </w:rPr>
        <w:t xml:space="preserve"> производится в соответствии с утвержденными финансовыми нормативами.</w:t>
      </w:r>
    </w:p>
    <w:p w:rsidR="00D04F62" w:rsidRPr="008F081F" w:rsidRDefault="00D04F62" w:rsidP="00D04F62">
      <w:pPr>
        <w:widowControl w:val="0"/>
        <w:suppressAutoHyphens/>
        <w:autoSpaceDE w:val="0"/>
        <w:ind w:firstLine="709"/>
        <w:jc w:val="both"/>
        <w:rPr>
          <w:rFonts w:eastAsia="Arial Unicode MS"/>
          <w:sz w:val="24"/>
          <w:szCs w:val="24"/>
          <w:bdr w:val="nil"/>
        </w:rPr>
      </w:pPr>
      <w:r w:rsidRPr="008F081F">
        <w:rPr>
          <w:sz w:val="24"/>
          <w:szCs w:val="24"/>
          <w:u w:color="000000"/>
          <w:bdr w:val="nil"/>
        </w:rPr>
        <w:t>Финансовые нормативы на оплату методов высокотехнологичной медицинской помощи установлены в  Приложении 6 к настоящему Тарифному соглашению</w:t>
      </w:r>
      <w:r w:rsidRPr="008F081F">
        <w:rPr>
          <w:rFonts w:eastAsia="Arial Unicode MS"/>
          <w:sz w:val="24"/>
          <w:szCs w:val="24"/>
          <w:bdr w:val="nil"/>
        </w:rPr>
        <w:t>.</w:t>
      </w:r>
    </w:p>
    <w:p w:rsidR="00D04F62" w:rsidRPr="00D77B90" w:rsidRDefault="00D04F62" w:rsidP="009B5E5F">
      <w:pPr>
        <w:autoSpaceDE w:val="0"/>
        <w:autoSpaceDN w:val="0"/>
        <w:adjustRightInd w:val="0"/>
        <w:jc w:val="both"/>
        <w:rPr>
          <w:rFonts w:eastAsia="Arial Unicode MS"/>
          <w:bCs/>
          <w:sz w:val="24"/>
          <w:szCs w:val="24"/>
          <w:bdr w:val="nil"/>
        </w:rPr>
      </w:pPr>
      <w:proofErr w:type="gramStart"/>
      <w:r w:rsidRPr="008F081F">
        <w:rPr>
          <w:rFonts w:eastAsia="Arial Unicode MS"/>
          <w:bCs/>
          <w:sz w:val="24"/>
          <w:szCs w:val="24"/>
          <w:bdr w:val="nil"/>
        </w:rPr>
        <w:t>Оплата высокотехнологичной медицинской помощи осуществляется на основании реестров счетов и счетов на оплату медицинской помощи в пределах объемов предоставления медицинской помощи</w:t>
      </w:r>
      <w:r w:rsidR="00BD19B3" w:rsidRPr="008F081F">
        <w:rPr>
          <w:rFonts w:eastAsia="Arial Unicode MS"/>
          <w:bCs/>
          <w:sz w:val="24"/>
          <w:szCs w:val="24"/>
          <w:bdr w:val="nil"/>
        </w:rPr>
        <w:t>,</w:t>
      </w:r>
      <w:r w:rsidRPr="008F081F">
        <w:rPr>
          <w:rFonts w:eastAsia="Arial Unicode MS"/>
          <w:bCs/>
          <w:sz w:val="24"/>
          <w:szCs w:val="24"/>
          <w:bdr w:val="nil"/>
        </w:rPr>
        <w:t xml:space="preserve"> установленной решением Комиссии</w:t>
      </w:r>
      <w:r w:rsidR="00BD19B3" w:rsidRPr="008F081F">
        <w:rPr>
          <w:rFonts w:eastAsia="Arial Unicode MS"/>
          <w:bCs/>
          <w:sz w:val="24"/>
          <w:szCs w:val="24"/>
          <w:bdr w:val="nil"/>
        </w:rPr>
        <w:t>,</w:t>
      </w:r>
      <w:r w:rsidRPr="008F081F">
        <w:rPr>
          <w:rFonts w:eastAsia="Arial Unicode MS"/>
          <w:bCs/>
          <w:sz w:val="24"/>
          <w:szCs w:val="24"/>
          <w:bdr w:val="nil"/>
        </w:rPr>
        <w:t xml:space="preserve"> при условии включения сведений</w:t>
      </w:r>
      <w:r w:rsidR="00BD19B3" w:rsidRPr="008F081F">
        <w:rPr>
          <w:rFonts w:eastAsia="Arial Unicode MS"/>
          <w:bCs/>
          <w:sz w:val="24"/>
          <w:szCs w:val="24"/>
          <w:bdr w:val="nil"/>
        </w:rPr>
        <w:t>,</w:t>
      </w:r>
      <w:r w:rsidRPr="008F081F">
        <w:rPr>
          <w:rFonts w:eastAsia="Arial Unicode MS"/>
          <w:bCs/>
          <w:sz w:val="24"/>
          <w:szCs w:val="24"/>
          <w:bdr w:val="nil"/>
        </w:rPr>
        <w:t xml:space="preserve"> предусмотренных приказом Минздрава России от 30.01.2015 №29н</w:t>
      </w:r>
      <w:r w:rsidR="009B5E5F">
        <w:rPr>
          <w:rFonts w:eastAsia="Arial Unicode MS"/>
          <w:bCs/>
          <w:sz w:val="24"/>
          <w:szCs w:val="24"/>
          <w:bdr w:val="nil"/>
        </w:rPr>
        <w:t xml:space="preserve"> </w:t>
      </w:r>
      <w:r w:rsidR="009B5E5F" w:rsidRPr="00D77B90">
        <w:rPr>
          <w:rFonts w:eastAsia="Arial Unicode MS"/>
          <w:bCs/>
          <w:sz w:val="24"/>
          <w:szCs w:val="24"/>
          <w:bdr w:val="nil"/>
        </w:rPr>
        <w:t>«О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</w:t>
      </w:r>
      <w:proofErr w:type="gramEnd"/>
      <w:r w:rsidR="009B5E5F" w:rsidRPr="00D77B90">
        <w:rPr>
          <w:rFonts w:eastAsia="Arial Unicode MS"/>
          <w:bCs/>
          <w:sz w:val="24"/>
          <w:szCs w:val="24"/>
          <w:bdr w:val="nil"/>
        </w:rPr>
        <w:t xml:space="preserve"> и </w:t>
      </w:r>
      <w:proofErr w:type="gramStart"/>
      <w:r w:rsidR="009B5E5F" w:rsidRPr="00D77B90">
        <w:rPr>
          <w:rFonts w:eastAsia="Arial Unicode MS"/>
          <w:bCs/>
          <w:sz w:val="24"/>
          <w:szCs w:val="24"/>
          <w:bdr w:val="nil"/>
        </w:rPr>
        <w:t>сроках</w:t>
      </w:r>
      <w:proofErr w:type="gramEnd"/>
      <w:r w:rsidR="009B5E5F" w:rsidRPr="00D77B90">
        <w:rPr>
          <w:rFonts w:eastAsia="Arial Unicode MS"/>
          <w:bCs/>
          <w:sz w:val="24"/>
          <w:szCs w:val="24"/>
          <w:bdr w:val="nil"/>
        </w:rPr>
        <w:t xml:space="preserve"> представления»</w:t>
      </w:r>
      <w:r w:rsidR="00BD19B3" w:rsidRPr="00D77B90">
        <w:rPr>
          <w:rFonts w:eastAsia="Arial Unicode MS"/>
          <w:bCs/>
          <w:sz w:val="24"/>
          <w:szCs w:val="24"/>
          <w:bdr w:val="nil"/>
        </w:rPr>
        <w:t xml:space="preserve">, </w:t>
      </w:r>
      <w:r w:rsidRPr="008F081F">
        <w:rPr>
          <w:rFonts w:eastAsia="Arial Unicode MS"/>
          <w:bCs/>
          <w:sz w:val="24"/>
          <w:szCs w:val="24"/>
          <w:bdr w:val="nil"/>
        </w:rPr>
        <w:t>в специализированную информационную систему Минздрава России.</w:t>
      </w:r>
    </w:p>
    <w:p w:rsidR="00D04F62" w:rsidRPr="008F081F" w:rsidRDefault="00D04F62" w:rsidP="00D04F62">
      <w:pPr>
        <w:jc w:val="center"/>
        <w:rPr>
          <w:b/>
          <w:sz w:val="24"/>
          <w:szCs w:val="24"/>
        </w:rPr>
      </w:pPr>
    </w:p>
    <w:p w:rsidR="00D04F62" w:rsidRPr="008F081F" w:rsidRDefault="00D04F62" w:rsidP="00D04F62">
      <w:pPr>
        <w:jc w:val="center"/>
        <w:rPr>
          <w:b/>
          <w:sz w:val="24"/>
          <w:szCs w:val="24"/>
        </w:rPr>
      </w:pPr>
      <w:r w:rsidRPr="008F081F">
        <w:rPr>
          <w:b/>
          <w:sz w:val="24"/>
          <w:szCs w:val="24"/>
        </w:rPr>
        <w:t>Поправочные коэффициенты оплаты КСГ</w:t>
      </w:r>
    </w:p>
    <w:p w:rsidR="00D04F62" w:rsidRPr="008F081F" w:rsidRDefault="00D04F62" w:rsidP="00D04F62">
      <w:pPr>
        <w:tabs>
          <w:tab w:val="left" w:pos="993"/>
        </w:tabs>
        <w:jc w:val="center"/>
        <w:rPr>
          <w:sz w:val="24"/>
          <w:szCs w:val="24"/>
        </w:rPr>
      </w:pPr>
    </w:p>
    <w:p w:rsidR="00D04F62" w:rsidRPr="008F081F" w:rsidRDefault="00F21B07" w:rsidP="00D04F62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F081F">
        <w:rPr>
          <w:sz w:val="24"/>
          <w:szCs w:val="24"/>
        </w:rPr>
        <w:t>5.1.</w:t>
      </w:r>
      <w:r w:rsidR="00D04F62" w:rsidRPr="008F081F">
        <w:rPr>
          <w:sz w:val="24"/>
          <w:szCs w:val="24"/>
        </w:rPr>
        <w:t xml:space="preserve"> </w:t>
      </w:r>
      <w:proofErr w:type="gramStart"/>
      <w:r w:rsidR="00D04F62" w:rsidRPr="008F081F">
        <w:rPr>
          <w:sz w:val="24"/>
          <w:szCs w:val="24"/>
        </w:rPr>
        <w:t>Коэффициенты уровня и подуровня оказания стационарной медицинской помощи (</w:t>
      </w:r>
      <w:proofErr w:type="spellStart"/>
      <w:r w:rsidR="00D04F62" w:rsidRPr="008F081F">
        <w:rPr>
          <w:sz w:val="24"/>
          <w:szCs w:val="24"/>
        </w:rPr>
        <w:t>КУСмо</w:t>
      </w:r>
      <w:proofErr w:type="spellEnd"/>
      <w:r w:rsidR="00EE770D" w:rsidRPr="008F081F">
        <w:rPr>
          <w:sz w:val="24"/>
          <w:szCs w:val="24"/>
        </w:rPr>
        <w:t>.</w:t>
      </w:r>
      <w:proofErr w:type="gramEnd"/>
      <w:r w:rsidR="00D04F62" w:rsidRPr="008F081F">
        <w:rPr>
          <w:sz w:val="24"/>
          <w:szCs w:val="24"/>
        </w:rPr>
        <w:t xml:space="preserve"> (</w:t>
      </w:r>
      <w:proofErr w:type="spellStart"/>
      <w:r w:rsidR="00D04F62" w:rsidRPr="008F081F">
        <w:rPr>
          <w:sz w:val="24"/>
          <w:szCs w:val="24"/>
        </w:rPr>
        <w:t>КПУСмо</w:t>
      </w:r>
      <w:proofErr w:type="spellEnd"/>
      <w:r w:rsidR="00D04F62" w:rsidRPr="008F081F">
        <w:rPr>
          <w:sz w:val="24"/>
          <w:szCs w:val="24"/>
        </w:rPr>
        <w:t>)</w:t>
      </w:r>
    </w:p>
    <w:p w:rsidR="00D04F62" w:rsidRPr="008F081F" w:rsidRDefault="00D04F62" w:rsidP="00D04F62">
      <w:pPr>
        <w:jc w:val="right"/>
        <w:rPr>
          <w:sz w:val="24"/>
          <w:szCs w:val="24"/>
        </w:rPr>
      </w:pPr>
    </w:p>
    <w:p w:rsidR="00D04F62" w:rsidRPr="008F081F" w:rsidRDefault="00D04F62" w:rsidP="00D208FF">
      <w:pPr>
        <w:ind w:right="140"/>
        <w:jc w:val="right"/>
        <w:rPr>
          <w:sz w:val="24"/>
          <w:szCs w:val="24"/>
        </w:rPr>
      </w:pPr>
      <w:r w:rsidRPr="008F081F">
        <w:rPr>
          <w:sz w:val="24"/>
          <w:szCs w:val="24"/>
        </w:rPr>
        <w:t xml:space="preserve">Таблица </w:t>
      </w:r>
      <w:r w:rsidR="00F21B07" w:rsidRPr="008F081F">
        <w:rPr>
          <w:sz w:val="24"/>
          <w:szCs w:val="24"/>
        </w:rPr>
        <w:t>11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5"/>
        <w:gridCol w:w="3465"/>
      </w:tblGrid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  <w:vAlign w:val="center"/>
            <w:hideMark/>
          </w:tcPr>
          <w:p w:rsidR="00D04F62" w:rsidRPr="008F081F" w:rsidRDefault="00D04F62" w:rsidP="00EE770D">
            <w:pPr>
              <w:jc w:val="center"/>
            </w:pPr>
            <w:r w:rsidRPr="008F081F">
              <w:t>Уровень оказания медицинской помощи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D04F62" w:rsidRPr="008F081F" w:rsidRDefault="00D04F62" w:rsidP="00EE770D">
            <w:pPr>
              <w:jc w:val="center"/>
            </w:pPr>
            <w:r w:rsidRPr="008F081F">
              <w:t xml:space="preserve">Значение коэффициента </w:t>
            </w:r>
            <w:proofErr w:type="spellStart"/>
            <w:r w:rsidRPr="008F081F">
              <w:t>КУСмо</w:t>
            </w:r>
            <w:proofErr w:type="spellEnd"/>
            <w:r w:rsidR="00EE770D" w:rsidRPr="008F081F">
              <w:t>.</w:t>
            </w:r>
            <w:r w:rsidRPr="008F081F">
              <w:t xml:space="preserve"> (</w:t>
            </w:r>
            <w:proofErr w:type="spellStart"/>
            <w:r w:rsidRPr="008F081F">
              <w:t>КПУСмо</w:t>
            </w:r>
            <w:proofErr w:type="spellEnd"/>
            <w:r w:rsidRPr="008F081F">
              <w:t>)</w:t>
            </w:r>
          </w:p>
        </w:tc>
      </w:tr>
      <w:tr w:rsidR="00D04F62" w:rsidRPr="008F081F" w:rsidTr="00D208FF">
        <w:trPr>
          <w:trHeight w:val="266"/>
        </w:trPr>
        <w:tc>
          <w:tcPr>
            <w:tcW w:w="3248" w:type="pct"/>
            <w:shd w:val="clear" w:color="auto" w:fill="auto"/>
            <w:hideMark/>
          </w:tcPr>
          <w:p w:rsidR="00D04F62" w:rsidRPr="008F081F" w:rsidRDefault="00D04F62" w:rsidP="00EE770D">
            <w:r w:rsidRPr="008F081F">
              <w:t>1 уровень</w:t>
            </w:r>
          </w:p>
        </w:tc>
        <w:tc>
          <w:tcPr>
            <w:tcW w:w="1752" w:type="pct"/>
            <w:shd w:val="clear" w:color="auto" w:fill="auto"/>
            <w:hideMark/>
          </w:tcPr>
          <w:p w:rsidR="00D04F62" w:rsidRPr="006200E7" w:rsidRDefault="00D04F62" w:rsidP="006200E7">
            <w:pPr>
              <w:jc w:val="center"/>
            </w:pPr>
            <w:r w:rsidRPr="006200E7">
              <w:t>0</w:t>
            </w:r>
            <w:r w:rsidR="006200E7" w:rsidRPr="006200E7">
              <w:t>,</w:t>
            </w:r>
            <w:r w:rsidRPr="006200E7">
              <w:t>95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  <w:hideMark/>
          </w:tcPr>
          <w:p w:rsidR="00D04F62" w:rsidRPr="008F081F" w:rsidRDefault="00EE770D" w:rsidP="00EE770D">
            <w:r w:rsidRPr="008F081F">
              <w:t>1.</w:t>
            </w:r>
            <w:r w:rsidR="00D04F62" w:rsidRPr="008F081F">
              <w:t>1</w:t>
            </w:r>
          </w:p>
        </w:tc>
        <w:tc>
          <w:tcPr>
            <w:tcW w:w="1752" w:type="pct"/>
            <w:shd w:val="clear" w:color="auto" w:fill="auto"/>
            <w:hideMark/>
          </w:tcPr>
          <w:p w:rsidR="00D04F62" w:rsidRPr="006200E7" w:rsidRDefault="00D04F62" w:rsidP="006200E7">
            <w:pPr>
              <w:jc w:val="center"/>
            </w:pPr>
            <w:r w:rsidRPr="006200E7">
              <w:t>0</w:t>
            </w:r>
            <w:r w:rsidR="006200E7" w:rsidRPr="006200E7">
              <w:t>,</w:t>
            </w:r>
            <w:r w:rsidRPr="006200E7">
              <w:t>70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  <w:hideMark/>
          </w:tcPr>
          <w:p w:rsidR="00D04F62" w:rsidRPr="008F081F" w:rsidRDefault="00D04F62" w:rsidP="00EE770D">
            <w:r w:rsidRPr="008F081F">
              <w:t>1</w:t>
            </w:r>
            <w:r w:rsidR="00EE770D" w:rsidRPr="008F081F">
              <w:t>.</w:t>
            </w:r>
            <w:r w:rsidRPr="008F081F">
              <w:t>2</w:t>
            </w:r>
          </w:p>
        </w:tc>
        <w:tc>
          <w:tcPr>
            <w:tcW w:w="1752" w:type="pct"/>
            <w:shd w:val="clear" w:color="auto" w:fill="auto"/>
            <w:hideMark/>
          </w:tcPr>
          <w:p w:rsidR="00D04F62" w:rsidRPr="006200E7" w:rsidRDefault="00D04F62" w:rsidP="006200E7">
            <w:pPr>
              <w:jc w:val="center"/>
            </w:pPr>
            <w:r w:rsidRPr="006200E7">
              <w:t>0</w:t>
            </w:r>
            <w:r w:rsidR="006200E7" w:rsidRPr="006200E7">
              <w:t>,</w:t>
            </w:r>
            <w:r w:rsidRPr="006200E7">
              <w:t>8</w:t>
            </w:r>
            <w:r w:rsidR="006200E7" w:rsidRPr="006200E7">
              <w:t>0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</w:tcPr>
          <w:p w:rsidR="00D04F62" w:rsidRPr="008F081F" w:rsidRDefault="00D04F62" w:rsidP="00EE770D">
            <w:r w:rsidRPr="008F081F">
              <w:t>1</w:t>
            </w:r>
            <w:r w:rsidR="00EE770D" w:rsidRPr="008F081F">
              <w:t>.</w:t>
            </w:r>
            <w:r w:rsidRPr="008F081F">
              <w:t>3</w:t>
            </w:r>
          </w:p>
        </w:tc>
        <w:tc>
          <w:tcPr>
            <w:tcW w:w="1752" w:type="pct"/>
            <w:shd w:val="clear" w:color="auto" w:fill="auto"/>
          </w:tcPr>
          <w:p w:rsidR="00D04F62" w:rsidRPr="006200E7" w:rsidRDefault="00D04F62" w:rsidP="006200E7">
            <w:pPr>
              <w:jc w:val="center"/>
            </w:pPr>
            <w:r w:rsidRPr="006200E7">
              <w:t>1</w:t>
            </w:r>
            <w:r w:rsidR="006200E7" w:rsidRPr="006200E7">
              <w:t>,18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  <w:hideMark/>
          </w:tcPr>
          <w:p w:rsidR="00D04F62" w:rsidRPr="008F081F" w:rsidRDefault="00D04F62" w:rsidP="00EE770D">
            <w:r w:rsidRPr="008F081F">
              <w:t>2 уровень</w:t>
            </w:r>
          </w:p>
        </w:tc>
        <w:tc>
          <w:tcPr>
            <w:tcW w:w="1752" w:type="pct"/>
            <w:shd w:val="clear" w:color="auto" w:fill="auto"/>
          </w:tcPr>
          <w:p w:rsidR="00D04F62" w:rsidRPr="006200E7" w:rsidRDefault="00D04F62" w:rsidP="006200E7">
            <w:pPr>
              <w:jc w:val="center"/>
            </w:pPr>
            <w:r w:rsidRPr="006200E7">
              <w:t>1</w:t>
            </w:r>
            <w:r w:rsidR="006200E7" w:rsidRPr="006200E7">
              <w:t>,</w:t>
            </w:r>
            <w:r w:rsidRPr="006200E7">
              <w:t>1</w:t>
            </w:r>
            <w:r w:rsidR="006200E7" w:rsidRPr="006200E7">
              <w:t>0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  <w:hideMark/>
          </w:tcPr>
          <w:p w:rsidR="00D04F62" w:rsidRPr="008F081F" w:rsidRDefault="00D04F62" w:rsidP="00EE770D">
            <w:r w:rsidRPr="008F081F">
              <w:t>2</w:t>
            </w:r>
            <w:r w:rsidR="00EE770D" w:rsidRPr="008F081F">
              <w:t>.</w:t>
            </w:r>
            <w:r w:rsidRPr="008F081F">
              <w:t>1</w:t>
            </w:r>
          </w:p>
        </w:tc>
        <w:tc>
          <w:tcPr>
            <w:tcW w:w="1752" w:type="pct"/>
            <w:shd w:val="clear" w:color="auto" w:fill="auto"/>
          </w:tcPr>
          <w:p w:rsidR="00D04F62" w:rsidRPr="006200E7" w:rsidRDefault="006200E7" w:rsidP="006200E7">
            <w:pPr>
              <w:jc w:val="center"/>
            </w:pPr>
            <w:r w:rsidRPr="006200E7">
              <w:t>0,90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  <w:hideMark/>
          </w:tcPr>
          <w:p w:rsidR="00D04F62" w:rsidRPr="008F081F" w:rsidRDefault="00D04F62" w:rsidP="00EE770D">
            <w:r w:rsidRPr="008F081F">
              <w:t>2</w:t>
            </w:r>
            <w:r w:rsidR="00EE770D" w:rsidRPr="008F081F">
              <w:t>.</w:t>
            </w:r>
            <w:r w:rsidRPr="008F081F">
              <w:t>2</w:t>
            </w:r>
          </w:p>
        </w:tc>
        <w:tc>
          <w:tcPr>
            <w:tcW w:w="1752" w:type="pct"/>
            <w:shd w:val="clear" w:color="auto" w:fill="auto"/>
          </w:tcPr>
          <w:p w:rsidR="00D04F62" w:rsidRPr="006200E7" w:rsidRDefault="006200E7" w:rsidP="00EE770D">
            <w:pPr>
              <w:jc w:val="center"/>
            </w:pPr>
            <w:r w:rsidRPr="006200E7">
              <w:t>1,00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</w:tcPr>
          <w:p w:rsidR="00D04F62" w:rsidRPr="008F081F" w:rsidRDefault="00D04F62" w:rsidP="00EE770D">
            <w:r w:rsidRPr="008F081F">
              <w:t>2</w:t>
            </w:r>
            <w:r w:rsidR="00EE770D" w:rsidRPr="008F081F">
              <w:t>.</w:t>
            </w:r>
            <w:r w:rsidRPr="008F081F">
              <w:t>3</w:t>
            </w:r>
          </w:p>
        </w:tc>
        <w:tc>
          <w:tcPr>
            <w:tcW w:w="1752" w:type="pct"/>
            <w:shd w:val="clear" w:color="auto" w:fill="auto"/>
          </w:tcPr>
          <w:p w:rsidR="00D04F62" w:rsidRPr="006200E7" w:rsidRDefault="00D04F62" w:rsidP="006200E7">
            <w:pPr>
              <w:jc w:val="center"/>
            </w:pPr>
            <w:r w:rsidRPr="006200E7">
              <w:t>1</w:t>
            </w:r>
            <w:r w:rsidR="006200E7" w:rsidRPr="006200E7">
              <w:t>,</w:t>
            </w:r>
            <w:r w:rsidRPr="006200E7">
              <w:t>3</w:t>
            </w:r>
            <w:r w:rsidR="006200E7" w:rsidRPr="006200E7">
              <w:t>0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  <w:hideMark/>
          </w:tcPr>
          <w:p w:rsidR="00D04F62" w:rsidRPr="008F081F" w:rsidRDefault="00D04F62" w:rsidP="00EE770D">
            <w:r w:rsidRPr="008F081F">
              <w:t>3 уровень</w:t>
            </w:r>
          </w:p>
        </w:tc>
        <w:tc>
          <w:tcPr>
            <w:tcW w:w="1752" w:type="pct"/>
            <w:shd w:val="clear" w:color="auto" w:fill="auto"/>
            <w:hideMark/>
          </w:tcPr>
          <w:p w:rsidR="00D04F62" w:rsidRPr="006200E7" w:rsidRDefault="00D04F62" w:rsidP="005A5995">
            <w:pPr>
              <w:jc w:val="center"/>
            </w:pPr>
            <w:r w:rsidRPr="006200E7">
              <w:t>1</w:t>
            </w:r>
            <w:r w:rsidR="005A5995">
              <w:t>,</w:t>
            </w:r>
            <w:r w:rsidRPr="006200E7">
              <w:t>3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</w:tcPr>
          <w:p w:rsidR="00D04F62" w:rsidRPr="008F081F" w:rsidRDefault="00D04F62" w:rsidP="00EE770D">
            <w:r w:rsidRPr="008F081F">
              <w:t>3</w:t>
            </w:r>
            <w:r w:rsidR="00EE770D" w:rsidRPr="008F081F">
              <w:t>.</w:t>
            </w:r>
            <w:r w:rsidRPr="008F081F">
              <w:t>1</w:t>
            </w:r>
          </w:p>
        </w:tc>
        <w:tc>
          <w:tcPr>
            <w:tcW w:w="1752" w:type="pct"/>
            <w:shd w:val="clear" w:color="auto" w:fill="auto"/>
          </w:tcPr>
          <w:p w:rsidR="00D04F62" w:rsidRPr="006200E7" w:rsidRDefault="00D04F62" w:rsidP="00EE770D">
            <w:pPr>
              <w:jc w:val="center"/>
            </w:pPr>
            <w:r w:rsidRPr="006200E7">
              <w:t>1</w:t>
            </w:r>
            <w:r w:rsidR="00EE770D" w:rsidRPr="006200E7">
              <w:t>.</w:t>
            </w:r>
            <w:r w:rsidRPr="006200E7">
              <w:t>1</w:t>
            </w:r>
            <w:r w:rsidR="006200E7" w:rsidRPr="006200E7">
              <w:t>0</w:t>
            </w:r>
          </w:p>
        </w:tc>
      </w:tr>
      <w:tr w:rsidR="006200E7" w:rsidRPr="008F081F" w:rsidTr="00D208FF">
        <w:trPr>
          <w:trHeight w:val="20"/>
        </w:trPr>
        <w:tc>
          <w:tcPr>
            <w:tcW w:w="3248" w:type="pct"/>
            <w:shd w:val="clear" w:color="auto" w:fill="auto"/>
          </w:tcPr>
          <w:p w:rsidR="006200E7" w:rsidRPr="008F081F" w:rsidRDefault="006200E7" w:rsidP="00EE770D">
            <w:r>
              <w:t>3.2</w:t>
            </w:r>
          </w:p>
        </w:tc>
        <w:tc>
          <w:tcPr>
            <w:tcW w:w="1752" w:type="pct"/>
            <w:shd w:val="clear" w:color="auto" w:fill="auto"/>
          </w:tcPr>
          <w:p w:rsidR="006200E7" w:rsidRPr="006200E7" w:rsidRDefault="006200E7" w:rsidP="00EE770D">
            <w:pPr>
              <w:jc w:val="center"/>
            </w:pPr>
            <w:r w:rsidRPr="006200E7">
              <w:t>1,20</w:t>
            </w:r>
          </w:p>
        </w:tc>
      </w:tr>
      <w:tr w:rsidR="00D04F62" w:rsidRPr="008F081F" w:rsidTr="00D208FF">
        <w:trPr>
          <w:trHeight w:val="20"/>
        </w:trPr>
        <w:tc>
          <w:tcPr>
            <w:tcW w:w="3248" w:type="pct"/>
            <w:shd w:val="clear" w:color="auto" w:fill="auto"/>
          </w:tcPr>
          <w:p w:rsidR="00D04F62" w:rsidRPr="008F081F" w:rsidRDefault="00D04F62" w:rsidP="00EE770D">
            <w:r w:rsidRPr="008F081F">
              <w:t>3</w:t>
            </w:r>
            <w:r w:rsidR="00EE770D" w:rsidRPr="008F081F">
              <w:t>.</w:t>
            </w:r>
            <w:r w:rsidR="00084AC3">
              <w:t>3</w:t>
            </w:r>
          </w:p>
        </w:tc>
        <w:tc>
          <w:tcPr>
            <w:tcW w:w="1752" w:type="pct"/>
            <w:shd w:val="clear" w:color="auto" w:fill="auto"/>
          </w:tcPr>
          <w:p w:rsidR="00D04F62" w:rsidRPr="006200E7" w:rsidRDefault="00D04F62" w:rsidP="00EE770D">
            <w:pPr>
              <w:jc w:val="center"/>
            </w:pPr>
            <w:r w:rsidRPr="006200E7">
              <w:t>1</w:t>
            </w:r>
            <w:r w:rsidR="006200E7" w:rsidRPr="006200E7">
              <w:t>,</w:t>
            </w:r>
            <w:r w:rsidRPr="006200E7">
              <w:t>4</w:t>
            </w:r>
            <w:r w:rsidR="006200E7" w:rsidRPr="006200E7">
              <w:t>0</w:t>
            </w:r>
          </w:p>
        </w:tc>
      </w:tr>
    </w:tbl>
    <w:p w:rsidR="00D04F62" w:rsidRPr="008F081F" w:rsidRDefault="00D04F62" w:rsidP="00D04F62">
      <w:pPr>
        <w:tabs>
          <w:tab w:val="left" w:pos="993"/>
        </w:tabs>
        <w:ind w:left="1065"/>
        <w:contextualSpacing/>
        <w:rPr>
          <w:bCs/>
          <w:sz w:val="24"/>
          <w:szCs w:val="24"/>
        </w:rPr>
      </w:pPr>
    </w:p>
    <w:p w:rsidR="00D04F62" w:rsidRPr="008F081F" w:rsidRDefault="00F21B07" w:rsidP="00D04F62">
      <w:pPr>
        <w:ind w:left="426"/>
        <w:contextualSpacing/>
        <w:rPr>
          <w:bCs/>
          <w:sz w:val="24"/>
          <w:szCs w:val="24"/>
        </w:rPr>
      </w:pPr>
      <w:r w:rsidRPr="008F081F">
        <w:rPr>
          <w:bCs/>
          <w:sz w:val="24"/>
          <w:szCs w:val="24"/>
        </w:rPr>
        <w:t>5.2.</w:t>
      </w:r>
      <w:r w:rsidR="00D04F62" w:rsidRPr="008F081F">
        <w:rPr>
          <w:bCs/>
          <w:sz w:val="24"/>
          <w:szCs w:val="24"/>
        </w:rPr>
        <w:t xml:space="preserve"> Управленческие коэффициенты по КСГ (КУ </w:t>
      </w:r>
      <w:proofErr w:type="spellStart"/>
      <w:r w:rsidR="00D04F62" w:rsidRPr="008F081F">
        <w:rPr>
          <w:bCs/>
          <w:sz w:val="24"/>
          <w:szCs w:val="24"/>
        </w:rPr>
        <w:t>ксг</w:t>
      </w:r>
      <w:proofErr w:type="spellEnd"/>
      <w:r w:rsidR="00D04F62" w:rsidRPr="008F081F">
        <w:rPr>
          <w:bCs/>
          <w:sz w:val="24"/>
          <w:szCs w:val="24"/>
        </w:rPr>
        <w:t>)</w:t>
      </w:r>
      <w:r w:rsidR="00915128" w:rsidRPr="008F081F">
        <w:rPr>
          <w:bCs/>
          <w:sz w:val="24"/>
          <w:szCs w:val="24"/>
        </w:rPr>
        <w:t>:</w:t>
      </w:r>
    </w:p>
    <w:p w:rsidR="00915128" w:rsidRPr="008F081F" w:rsidRDefault="00915128" w:rsidP="00D04F62">
      <w:pPr>
        <w:ind w:left="426"/>
        <w:contextualSpacing/>
        <w:rPr>
          <w:bCs/>
          <w:sz w:val="24"/>
          <w:szCs w:val="24"/>
        </w:rPr>
      </w:pPr>
    </w:p>
    <w:p w:rsidR="00887BDE" w:rsidRDefault="00B555D9" w:rsidP="00B555D9">
      <w:pPr>
        <w:contextualSpacing/>
        <w:rPr>
          <w:bCs/>
          <w:sz w:val="24"/>
          <w:szCs w:val="24"/>
        </w:rPr>
      </w:pPr>
      <w:r w:rsidRPr="008F081F">
        <w:rPr>
          <w:bCs/>
          <w:sz w:val="24"/>
          <w:szCs w:val="24"/>
        </w:rPr>
        <w:t xml:space="preserve">КУ </w:t>
      </w:r>
      <w:proofErr w:type="spellStart"/>
      <w:r w:rsidRPr="008F081F">
        <w:rPr>
          <w:bCs/>
          <w:sz w:val="24"/>
          <w:szCs w:val="24"/>
        </w:rPr>
        <w:t>ксг</w:t>
      </w:r>
      <w:proofErr w:type="spellEnd"/>
      <w:r w:rsidRPr="008F081F">
        <w:rPr>
          <w:bCs/>
          <w:sz w:val="24"/>
          <w:szCs w:val="24"/>
        </w:rPr>
        <w:t xml:space="preserve"> соответствует 1, за исключением </w:t>
      </w:r>
      <w:proofErr w:type="gramStart"/>
      <w:r w:rsidRPr="008F081F">
        <w:rPr>
          <w:bCs/>
          <w:sz w:val="24"/>
          <w:szCs w:val="24"/>
        </w:rPr>
        <w:t>следующих</w:t>
      </w:r>
      <w:proofErr w:type="gramEnd"/>
      <w:r w:rsidRPr="008F081F">
        <w:rPr>
          <w:bCs/>
          <w:sz w:val="24"/>
          <w:szCs w:val="24"/>
        </w:rPr>
        <w:t xml:space="preserve"> КСГ:</w:t>
      </w:r>
    </w:p>
    <w:p w:rsidR="00E82967" w:rsidRPr="008F081F" w:rsidRDefault="00E82967" w:rsidP="00B555D9">
      <w:pPr>
        <w:contextualSpacing/>
        <w:rPr>
          <w:bCs/>
          <w:sz w:val="24"/>
          <w:szCs w:val="24"/>
        </w:rPr>
      </w:pPr>
    </w:p>
    <w:p w:rsidR="00887BDE" w:rsidRPr="003C65A5" w:rsidRDefault="00E82967" w:rsidP="00B555D9">
      <w:pPr>
        <w:contextualSpacing/>
        <w:rPr>
          <w:bCs/>
          <w:sz w:val="24"/>
          <w:szCs w:val="24"/>
        </w:rPr>
      </w:pPr>
      <w:r w:rsidRPr="003C65A5">
        <w:rPr>
          <w:bCs/>
          <w:sz w:val="24"/>
          <w:szCs w:val="24"/>
        </w:rPr>
        <w:t>- </w:t>
      </w:r>
      <w:proofErr w:type="spellStart"/>
      <w:r w:rsidRPr="003C65A5">
        <w:rPr>
          <w:bCs/>
          <w:sz w:val="24"/>
          <w:szCs w:val="24"/>
          <w:lang w:val="en-US"/>
        </w:rPr>
        <w:t>st</w:t>
      </w:r>
      <w:proofErr w:type="spellEnd"/>
      <w:r w:rsidRPr="003C65A5">
        <w:rPr>
          <w:bCs/>
          <w:sz w:val="24"/>
          <w:szCs w:val="24"/>
        </w:rPr>
        <w:t>12.008 – Другие инфекционные и паразитарные болезни, взрослые – 1,2,</w:t>
      </w:r>
    </w:p>
    <w:p w:rsidR="00B555D9" w:rsidRPr="003C65A5" w:rsidRDefault="00915128" w:rsidP="00B555D9">
      <w:pPr>
        <w:contextualSpacing/>
        <w:rPr>
          <w:bCs/>
          <w:sz w:val="24"/>
          <w:szCs w:val="24"/>
        </w:rPr>
      </w:pPr>
      <w:r w:rsidRPr="003C65A5">
        <w:rPr>
          <w:bCs/>
          <w:sz w:val="24"/>
          <w:szCs w:val="24"/>
        </w:rPr>
        <w:t>- </w:t>
      </w:r>
      <w:proofErr w:type="spellStart"/>
      <w:r w:rsidR="00CB78E7" w:rsidRPr="003C65A5">
        <w:rPr>
          <w:bCs/>
          <w:sz w:val="24"/>
          <w:szCs w:val="24"/>
          <w:lang w:val="en-US"/>
        </w:rPr>
        <w:t>st</w:t>
      </w:r>
      <w:proofErr w:type="spellEnd"/>
      <w:r w:rsidR="00CB78E7" w:rsidRPr="003C65A5">
        <w:rPr>
          <w:bCs/>
          <w:sz w:val="24"/>
          <w:szCs w:val="24"/>
        </w:rPr>
        <w:t xml:space="preserve">21.001 – </w:t>
      </w:r>
      <w:proofErr w:type="spellStart"/>
      <w:r w:rsidR="00CB78E7" w:rsidRPr="003C65A5">
        <w:rPr>
          <w:bCs/>
          <w:sz w:val="24"/>
          <w:szCs w:val="24"/>
          <w:lang w:val="en-US"/>
        </w:rPr>
        <w:t>st</w:t>
      </w:r>
      <w:proofErr w:type="spellEnd"/>
      <w:r w:rsidR="00CB78E7" w:rsidRPr="003C65A5">
        <w:rPr>
          <w:bCs/>
          <w:sz w:val="24"/>
          <w:szCs w:val="24"/>
        </w:rPr>
        <w:t>21.008</w:t>
      </w:r>
      <w:r w:rsidRPr="003C65A5">
        <w:rPr>
          <w:bCs/>
          <w:sz w:val="24"/>
          <w:szCs w:val="24"/>
        </w:rPr>
        <w:t xml:space="preserve"> – профиль «офтальмология» - 0,80;</w:t>
      </w:r>
    </w:p>
    <w:p w:rsidR="00915128" w:rsidRPr="003C65A5" w:rsidRDefault="00915128" w:rsidP="00B555D9">
      <w:pPr>
        <w:contextualSpacing/>
        <w:rPr>
          <w:bCs/>
          <w:sz w:val="24"/>
          <w:szCs w:val="24"/>
        </w:rPr>
      </w:pPr>
      <w:r w:rsidRPr="003C65A5">
        <w:rPr>
          <w:bCs/>
          <w:sz w:val="24"/>
          <w:szCs w:val="24"/>
        </w:rPr>
        <w:t>- </w:t>
      </w:r>
      <w:proofErr w:type="spellStart"/>
      <w:r w:rsidRPr="003C65A5">
        <w:rPr>
          <w:bCs/>
          <w:sz w:val="24"/>
          <w:szCs w:val="24"/>
          <w:lang w:val="en-US"/>
        </w:rPr>
        <w:t>st</w:t>
      </w:r>
      <w:proofErr w:type="spellEnd"/>
      <w:r w:rsidRPr="003C65A5">
        <w:rPr>
          <w:bCs/>
          <w:sz w:val="24"/>
          <w:szCs w:val="24"/>
        </w:rPr>
        <w:t>27.012 - Отравления и другие воздействия внешних причин – 1,</w:t>
      </w:r>
      <w:r w:rsidR="003758FE" w:rsidRPr="003C65A5">
        <w:rPr>
          <w:bCs/>
          <w:sz w:val="24"/>
          <w:szCs w:val="24"/>
        </w:rPr>
        <w:t>2</w:t>
      </w:r>
      <w:r w:rsidRPr="003C65A5">
        <w:rPr>
          <w:bCs/>
          <w:sz w:val="24"/>
          <w:szCs w:val="24"/>
        </w:rPr>
        <w:t>;</w:t>
      </w:r>
    </w:p>
    <w:p w:rsidR="00E82967" w:rsidRPr="003C65A5" w:rsidRDefault="001A5DD9" w:rsidP="00B555D9">
      <w:pPr>
        <w:contextualSpacing/>
        <w:rPr>
          <w:bCs/>
          <w:sz w:val="24"/>
          <w:szCs w:val="24"/>
        </w:rPr>
      </w:pPr>
      <w:r w:rsidRPr="003C65A5">
        <w:rPr>
          <w:bCs/>
          <w:sz w:val="24"/>
          <w:szCs w:val="24"/>
        </w:rPr>
        <w:t>- </w:t>
      </w:r>
      <w:proofErr w:type="spellStart"/>
      <w:r w:rsidRPr="003C65A5">
        <w:rPr>
          <w:bCs/>
          <w:sz w:val="24"/>
          <w:szCs w:val="24"/>
          <w:lang w:val="en-US"/>
        </w:rPr>
        <w:t>st</w:t>
      </w:r>
      <w:proofErr w:type="spellEnd"/>
      <w:r w:rsidRPr="003C65A5">
        <w:rPr>
          <w:bCs/>
          <w:sz w:val="24"/>
          <w:szCs w:val="24"/>
        </w:rPr>
        <w:t>36.003 – Лечение с применением генно-инженерных биологических препаратов и селе</w:t>
      </w:r>
      <w:r w:rsidR="003C65A5">
        <w:rPr>
          <w:bCs/>
          <w:sz w:val="24"/>
          <w:szCs w:val="24"/>
        </w:rPr>
        <w:t>ктивных иммунодепрессантов – 0,8.</w:t>
      </w:r>
    </w:p>
    <w:p w:rsidR="00D04F62" w:rsidRPr="008F081F" w:rsidRDefault="00D04F62" w:rsidP="003C65A5">
      <w:pPr>
        <w:jc w:val="center"/>
        <w:rPr>
          <w:sz w:val="24"/>
          <w:szCs w:val="24"/>
        </w:rPr>
      </w:pPr>
    </w:p>
    <w:p w:rsidR="00D04F62" w:rsidRPr="008F081F" w:rsidRDefault="00F21B07" w:rsidP="00D04F62">
      <w:pPr>
        <w:tabs>
          <w:tab w:val="left" w:pos="993"/>
        </w:tabs>
        <w:ind w:left="426"/>
        <w:rPr>
          <w:sz w:val="24"/>
          <w:szCs w:val="24"/>
        </w:rPr>
      </w:pPr>
      <w:r w:rsidRPr="008F081F">
        <w:rPr>
          <w:sz w:val="24"/>
          <w:szCs w:val="24"/>
        </w:rPr>
        <w:t>5.3.</w:t>
      </w:r>
      <w:r w:rsidR="00D04F62" w:rsidRPr="008F081F">
        <w:rPr>
          <w:sz w:val="24"/>
          <w:szCs w:val="24"/>
        </w:rPr>
        <w:t xml:space="preserve"> Коэффициент сложности лечения пациента (КСЛП)</w:t>
      </w:r>
    </w:p>
    <w:p w:rsidR="00D04F62" w:rsidRPr="008F081F" w:rsidRDefault="00D04F62" w:rsidP="00D208FF">
      <w:pPr>
        <w:ind w:right="140"/>
        <w:jc w:val="right"/>
        <w:rPr>
          <w:sz w:val="24"/>
          <w:szCs w:val="24"/>
        </w:rPr>
      </w:pPr>
      <w:r w:rsidRPr="008F081F">
        <w:rPr>
          <w:sz w:val="24"/>
          <w:szCs w:val="24"/>
        </w:rPr>
        <w:t xml:space="preserve">Таблица </w:t>
      </w:r>
      <w:r w:rsidR="00F21B07" w:rsidRPr="008F081F">
        <w:rPr>
          <w:sz w:val="24"/>
          <w:szCs w:val="24"/>
        </w:rPr>
        <w:t>12</w:t>
      </w:r>
    </w:p>
    <w:tbl>
      <w:tblPr>
        <w:tblW w:w="4878" w:type="pct"/>
        <w:tblLayout w:type="fixed"/>
        <w:tblLook w:val="04A0" w:firstRow="1" w:lastRow="0" w:firstColumn="1" w:lastColumn="0" w:noHBand="0" w:noVBand="1"/>
      </w:tblPr>
      <w:tblGrid>
        <w:gridCol w:w="614"/>
        <w:gridCol w:w="7433"/>
        <w:gridCol w:w="237"/>
        <w:gridCol w:w="1606"/>
      </w:tblGrid>
      <w:tr w:rsidR="00D04F62" w:rsidRPr="008F081F" w:rsidTr="00D208FF">
        <w:trPr>
          <w:trHeight w:val="75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62" w:rsidRPr="008F081F" w:rsidRDefault="00D04F62" w:rsidP="00EE770D">
            <w:r w:rsidRPr="008F081F">
              <w:t> №</w:t>
            </w:r>
          </w:p>
        </w:tc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62" w:rsidRPr="008F081F" w:rsidRDefault="00D04F62" w:rsidP="00EE770D">
            <w:pPr>
              <w:jc w:val="center"/>
            </w:pPr>
            <w:r w:rsidRPr="008F081F">
              <w:t>Критерий применения коэффициента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62" w:rsidRPr="008F081F" w:rsidRDefault="00D04F62" w:rsidP="00EE770D">
            <w:pPr>
              <w:jc w:val="center"/>
              <w:rPr>
                <w:bCs/>
              </w:rPr>
            </w:pPr>
            <w:r w:rsidRPr="008F081F">
              <w:rPr>
                <w:bCs/>
              </w:rPr>
              <w:t>Значение коэффициента КСЛП</w:t>
            </w:r>
          </w:p>
        </w:tc>
      </w:tr>
      <w:tr w:rsidR="00D04F62" w:rsidRPr="008F081F" w:rsidTr="00D208FF">
        <w:trPr>
          <w:trHeight w:val="348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F62" w:rsidRPr="004758E0" w:rsidRDefault="004758E0" w:rsidP="004758E0">
            <w:pPr>
              <w:jc w:val="center"/>
            </w:pPr>
            <w:r>
              <w:t>1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F62" w:rsidRPr="004758E0" w:rsidRDefault="00D04F62" w:rsidP="00EE770D">
            <w:pPr>
              <w:rPr>
                <w:bCs/>
              </w:rPr>
            </w:pPr>
            <w:r w:rsidRPr="004758E0">
              <w:rPr>
                <w:bCs/>
              </w:rPr>
              <w:t>Возраст: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62" w:rsidRPr="004758E0" w:rsidRDefault="00D04F62" w:rsidP="00EE770D">
            <w:r w:rsidRPr="004758E0"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62" w:rsidRPr="004758E0" w:rsidRDefault="00D04F62" w:rsidP="00EE770D">
            <w:pPr>
              <w:jc w:val="center"/>
            </w:pPr>
            <w:r w:rsidRPr="004758E0">
              <w:t> </w:t>
            </w:r>
          </w:p>
        </w:tc>
      </w:tr>
      <w:tr w:rsidR="00D04F62" w:rsidRPr="008F081F" w:rsidTr="00D208FF">
        <w:trPr>
          <w:trHeight w:val="20"/>
        </w:trPr>
        <w:tc>
          <w:tcPr>
            <w:tcW w:w="31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F62" w:rsidRPr="004758E0" w:rsidRDefault="00D04F62" w:rsidP="004758E0">
            <w:pPr>
              <w:jc w:val="center"/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62" w:rsidRPr="004758E0" w:rsidRDefault="00D04F62" w:rsidP="007C4AE9">
            <w:proofErr w:type="gramStart"/>
            <w:r w:rsidRPr="004758E0">
              <w:t>75 лет и старше (кроме профиля «Гериатрия»:</w:t>
            </w:r>
            <w:proofErr w:type="gramEnd"/>
            <w:r w:rsidRPr="004758E0">
              <w:t xml:space="preserve"> </w:t>
            </w:r>
            <w:proofErr w:type="gramStart"/>
            <w:r w:rsidR="007C4AE9" w:rsidRPr="004758E0">
              <w:t xml:space="preserve">КСГ </w:t>
            </w:r>
            <w:proofErr w:type="spellStart"/>
            <w:r w:rsidR="007C4AE9" w:rsidRPr="004758E0">
              <w:rPr>
                <w:lang w:val="en-US"/>
              </w:rPr>
              <w:t>st</w:t>
            </w:r>
            <w:proofErr w:type="spellEnd"/>
            <w:r w:rsidR="007C4AE9" w:rsidRPr="004758E0">
              <w:t>38.001</w:t>
            </w:r>
            <w:r w:rsidRPr="004758E0">
              <w:t>)</w:t>
            </w:r>
            <w:proofErr w:type="gramEnd"/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62" w:rsidRPr="004758E0" w:rsidRDefault="00D04F62" w:rsidP="00EE770D">
            <w:r w:rsidRPr="004758E0"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62" w:rsidRPr="004758E0" w:rsidRDefault="00D04F62" w:rsidP="00EE770D">
            <w:pPr>
              <w:jc w:val="center"/>
            </w:pPr>
            <w:r w:rsidRPr="004758E0">
              <w:t>1</w:t>
            </w:r>
            <w:r w:rsidR="00EE770D" w:rsidRPr="004758E0">
              <w:t>.</w:t>
            </w:r>
            <w:r w:rsidRPr="004758E0">
              <w:t>2</w:t>
            </w:r>
          </w:p>
        </w:tc>
      </w:tr>
      <w:tr w:rsidR="00D04F62" w:rsidRPr="008F081F" w:rsidTr="00D208FF">
        <w:trPr>
          <w:trHeight w:val="2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62" w:rsidRPr="004758E0" w:rsidRDefault="00D04F62" w:rsidP="004758E0">
            <w:pPr>
              <w:jc w:val="center"/>
            </w:pP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62" w:rsidRPr="004758E0" w:rsidRDefault="00D04F62" w:rsidP="007C4AE9">
            <w:proofErr w:type="gramStart"/>
            <w:r w:rsidRPr="004758E0">
              <w:t>0-4 года (кроме профиля «Неонатология»:</w:t>
            </w:r>
            <w:proofErr w:type="gramEnd"/>
            <w:r w:rsidRPr="004758E0">
              <w:t xml:space="preserve"> </w:t>
            </w:r>
            <w:proofErr w:type="gramStart"/>
            <w:r w:rsidRPr="004758E0">
              <w:t xml:space="preserve">КСГ </w:t>
            </w:r>
            <w:proofErr w:type="spellStart"/>
            <w:r w:rsidR="007C4AE9" w:rsidRPr="004758E0">
              <w:rPr>
                <w:lang w:val="en-US"/>
              </w:rPr>
              <w:t>st</w:t>
            </w:r>
            <w:proofErr w:type="spellEnd"/>
            <w:r w:rsidR="007C4AE9" w:rsidRPr="004758E0">
              <w:t xml:space="preserve">17.001 – </w:t>
            </w:r>
            <w:proofErr w:type="spellStart"/>
            <w:r w:rsidR="007C4AE9" w:rsidRPr="004758E0">
              <w:rPr>
                <w:lang w:val="en-US"/>
              </w:rPr>
              <w:t>st</w:t>
            </w:r>
            <w:proofErr w:type="spellEnd"/>
            <w:r w:rsidR="007C4AE9" w:rsidRPr="004758E0">
              <w:t>17.007</w:t>
            </w:r>
            <w:r w:rsidRPr="004758E0">
              <w:t>)</w:t>
            </w:r>
            <w:proofErr w:type="gram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62" w:rsidRPr="004758E0" w:rsidRDefault="00D04F62" w:rsidP="00EE770D">
            <w:r w:rsidRPr="004758E0"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62" w:rsidRPr="004758E0" w:rsidRDefault="00D04F62" w:rsidP="00EE770D">
            <w:pPr>
              <w:jc w:val="center"/>
            </w:pPr>
            <w:r w:rsidRPr="004758E0">
              <w:t>1</w:t>
            </w:r>
            <w:r w:rsidR="00EE770D" w:rsidRPr="004758E0">
              <w:t>.</w:t>
            </w:r>
            <w:r w:rsidRPr="004758E0">
              <w:t>2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4758E0" w:rsidRDefault="004758E0" w:rsidP="004758E0">
            <w:pPr>
              <w:jc w:val="center"/>
            </w:pPr>
            <w:r>
              <w:t>2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58E0" w:rsidRPr="00974039" w:rsidRDefault="004758E0" w:rsidP="00E942CE">
            <w:r w:rsidRPr="00974039"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974039" w:rsidRDefault="004758E0" w:rsidP="00E942CE"/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974039" w:rsidRDefault="004758E0" w:rsidP="00890D4E">
            <w:pPr>
              <w:jc w:val="center"/>
            </w:pPr>
            <w:r w:rsidRPr="00974039">
              <w:t>1,</w:t>
            </w:r>
            <w:r w:rsidR="00890D4E" w:rsidRPr="00974039">
              <w:t>05</w:t>
            </w:r>
          </w:p>
        </w:tc>
      </w:tr>
      <w:tr w:rsidR="004758E0" w:rsidRPr="008F081F" w:rsidTr="00D208FF">
        <w:trPr>
          <w:trHeight w:val="3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4758E0" w:rsidRDefault="004758E0" w:rsidP="004758E0">
            <w:pPr>
              <w:jc w:val="center"/>
            </w:pPr>
            <w:r>
              <w:t>3</w:t>
            </w:r>
          </w:p>
          <w:p w:rsidR="004758E0" w:rsidRPr="004758E0" w:rsidRDefault="004758E0" w:rsidP="004758E0">
            <w:pPr>
              <w:jc w:val="center"/>
            </w:pP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8E0" w:rsidRPr="004758E0" w:rsidRDefault="004758E0" w:rsidP="002F5A44">
            <w:pPr>
              <w:rPr>
                <w:bCs/>
              </w:rPr>
            </w:pPr>
            <w:r w:rsidRPr="004758E0">
              <w:t>Наличие у пациента тяжелой сопутствующей патологии, осложнений заболеваний, влияющих на сложность лечения пациента (</w:t>
            </w:r>
            <w:r w:rsidRPr="004758E0">
              <w:rPr>
                <w:lang w:val="en-US"/>
              </w:rPr>
              <w:t>E</w:t>
            </w:r>
            <w:r w:rsidRPr="004758E0">
              <w:t xml:space="preserve">10 – </w:t>
            </w:r>
            <w:r w:rsidRPr="004758E0">
              <w:rPr>
                <w:lang w:val="en-US"/>
              </w:rPr>
              <w:t>E</w:t>
            </w:r>
            <w:r w:rsidRPr="004758E0">
              <w:t xml:space="preserve">14, </w:t>
            </w:r>
            <w:r w:rsidRPr="004758E0">
              <w:rPr>
                <w:lang w:val="en-US"/>
              </w:rPr>
              <w:t>G</w:t>
            </w:r>
            <w:r w:rsidRPr="004758E0">
              <w:t xml:space="preserve">80, </w:t>
            </w:r>
            <w:r w:rsidRPr="004758E0">
              <w:rPr>
                <w:lang w:val="en-US"/>
              </w:rPr>
              <w:t>Z</w:t>
            </w:r>
            <w:r w:rsidRPr="004758E0">
              <w:t>20.6)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4758E0" w:rsidRDefault="004758E0" w:rsidP="00EE770D"/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4758E0" w:rsidRDefault="004758E0" w:rsidP="00EE770D">
            <w:pPr>
              <w:jc w:val="center"/>
            </w:pPr>
            <w:r w:rsidRPr="004758E0">
              <w:t>1.1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4758E0" w:rsidRDefault="004758E0" w:rsidP="004758E0">
            <w:pPr>
              <w:jc w:val="center"/>
            </w:pPr>
            <w:r>
              <w:t>4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8E0" w:rsidRPr="004758E0" w:rsidRDefault="004758E0" w:rsidP="00EE770D">
            <w:r w:rsidRPr="004758E0">
              <w:t xml:space="preserve">Проведение сочетанных хирургических вмешательств (перечень в </w:t>
            </w:r>
            <w:proofErr w:type="gramStart"/>
            <w:r w:rsidRPr="004758E0">
              <w:t>соответствии</w:t>
            </w:r>
            <w:proofErr w:type="gramEnd"/>
            <w:r w:rsidRPr="004758E0">
              <w:t xml:space="preserve"> с Инструкцией)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4758E0" w:rsidRDefault="004758E0" w:rsidP="00EE770D"/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4758E0" w:rsidRDefault="004758E0" w:rsidP="00EE770D">
            <w:pPr>
              <w:jc w:val="center"/>
            </w:pPr>
            <w:r w:rsidRPr="004758E0">
              <w:t>1.2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4758E0" w:rsidRDefault="004758E0" w:rsidP="004758E0">
            <w:pPr>
              <w:jc w:val="center"/>
            </w:pPr>
            <w:r>
              <w:t>5</w:t>
            </w:r>
          </w:p>
          <w:p w:rsidR="004758E0" w:rsidRPr="004758E0" w:rsidRDefault="004758E0" w:rsidP="004758E0">
            <w:pPr>
              <w:jc w:val="center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8E0" w:rsidRPr="004758E0" w:rsidRDefault="004758E0" w:rsidP="00EE770D">
            <w:r w:rsidRPr="004758E0">
              <w:t xml:space="preserve">Проведение в рамках одной госпитализации в полном объеме нескольких видов противоопухолевого лечения, относящихся к </w:t>
            </w:r>
            <w:proofErr w:type="gramStart"/>
            <w:r w:rsidRPr="004758E0">
              <w:t>разным</w:t>
            </w:r>
            <w:proofErr w:type="gramEnd"/>
            <w:r w:rsidRPr="004758E0">
              <w:t xml:space="preserve"> КСГ (перечень</w:t>
            </w:r>
            <w:r w:rsidR="002D255C">
              <w:t xml:space="preserve"> </w:t>
            </w:r>
            <w:r w:rsidR="002D255C" w:rsidRPr="003C65A5">
              <w:t>КСГ</w:t>
            </w:r>
            <w:r w:rsidRPr="003C65A5">
              <w:t xml:space="preserve"> в </w:t>
            </w:r>
            <w:r w:rsidRPr="004758E0">
              <w:t>соответствии с Инструкцией)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4758E0" w:rsidRDefault="004758E0" w:rsidP="00EE770D"/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4758E0" w:rsidRDefault="004758E0" w:rsidP="00EE770D">
            <w:pPr>
              <w:jc w:val="center"/>
            </w:pPr>
            <w:r w:rsidRPr="004758E0">
              <w:t>1.5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4758E0">
            <w:pPr>
              <w:jc w:val="center"/>
            </w:pPr>
            <w:r>
              <w:t>6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58E0" w:rsidRPr="008F081F" w:rsidRDefault="004758E0" w:rsidP="00EE770D">
            <w:pPr>
              <w:rPr>
                <w:strike/>
              </w:rPr>
            </w:pPr>
            <w:r w:rsidRPr="008F081F">
              <w:t>Проведение однотипных операций на парных органах (перечень в соответствии с Инструкцией)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rPr>
                <w:strike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jc w:val="center"/>
              <w:rPr>
                <w:strike/>
              </w:rPr>
            </w:pPr>
            <w:r w:rsidRPr="008F081F">
              <w:t>1.25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4758E0">
            <w:pPr>
              <w:jc w:val="center"/>
            </w:pPr>
            <w:r>
              <w:t>7</w:t>
            </w:r>
          </w:p>
          <w:p w:rsidR="004758E0" w:rsidRPr="008F081F" w:rsidRDefault="004758E0" w:rsidP="004758E0">
            <w:pPr>
              <w:jc w:val="center"/>
            </w:pP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58E0" w:rsidRPr="008F081F" w:rsidRDefault="004758E0" w:rsidP="00996C20">
            <w:pPr>
              <w:rPr>
                <w:strike/>
              </w:rPr>
            </w:pPr>
            <w:r w:rsidRPr="008F081F">
              <w:rPr>
                <w:bCs/>
              </w:rPr>
              <w:t xml:space="preserve">Случаи нахождения в реанимации (суммарно за 1 законченный случай), (кроме, </w:t>
            </w:r>
            <w:proofErr w:type="gramStart"/>
            <w:r w:rsidRPr="008F081F">
              <w:rPr>
                <w:bCs/>
              </w:rPr>
              <w:t>следующих</w:t>
            </w:r>
            <w:proofErr w:type="gramEnd"/>
            <w:r w:rsidRPr="008F081F">
              <w:rPr>
                <w:bCs/>
              </w:rPr>
              <w:t xml:space="preserve"> КСГ №</w:t>
            </w:r>
            <w:r w:rsidRPr="008F081F">
              <w:rPr>
                <w:b/>
                <w:bCs/>
              </w:rPr>
              <w:t xml:space="preserve"> </w:t>
            </w:r>
            <w:proofErr w:type="spellStart"/>
            <w:r w:rsidRPr="008F081F">
              <w:rPr>
                <w:bCs/>
                <w:lang w:val="en-US"/>
              </w:rPr>
              <w:t>st</w:t>
            </w:r>
            <w:proofErr w:type="spellEnd"/>
            <w:r w:rsidRPr="008F081F">
              <w:rPr>
                <w:bCs/>
              </w:rPr>
              <w:t xml:space="preserve">04.006, </w:t>
            </w:r>
            <w:proofErr w:type="spellStart"/>
            <w:r w:rsidRPr="008F081F">
              <w:rPr>
                <w:bCs/>
                <w:lang w:val="en-US"/>
              </w:rPr>
              <w:t>st</w:t>
            </w:r>
            <w:proofErr w:type="spellEnd"/>
            <w:r w:rsidRPr="008F081F">
              <w:rPr>
                <w:bCs/>
              </w:rPr>
              <w:t xml:space="preserve">12.007, </w:t>
            </w:r>
            <w:proofErr w:type="spellStart"/>
            <w:r w:rsidRPr="008F081F">
              <w:rPr>
                <w:bCs/>
                <w:lang w:val="en-US"/>
              </w:rPr>
              <w:t>st</w:t>
            </w:r>
            <w:proofErr w:type="spellEnd"/>
            <w:r w:rsidRPr="008F081F">
              <w:rPr>
                <w:bCs/>
              </w:rPr>
              <w:t xml:space="preserve">27.013, </w:t>
            </w:r>
            <w:proofErr w:type="spellStart"/>
            <w:r w:rsidRPr="008F081F">
              <w:rPr>
                <w:bCs/>
                <w:lang w:val="en-US"/>
              </w:rPr>
              <w:t>st</w:t>
            </w:r>
            <w:proofErr w:type="spellEnd"/>
            <w:r w:rsidRPr="008F081F">
              <w:rPr>
                <w:bCs/>
              </w:rPr>
              <w:t xml:space="preserve">33.008, </w:t>
            </w:r>
            <w:proofErr w:type="spellStart"/>
            <w:r w:rsidRPr="008F081F">
              <w:rPr>
                <w:bCs/>
                <w:lang w:val="en-US"/>
              </w:rPr>
              <w:t>st</w:t>
            </w:r>
            <w:proofErr w:type="spellEnd"/>
            <w:r w:rsidRPr="008F081F">
              <w:rPr>
                <w:bCs/>
              </w:rPr>
              <w:t xml:space="preserve">36.008 – </w:t>
            </w:r>
            <w:proofErr w:type="spellStart"/>
            <w:r w:rsidRPr="008F081F">
              <w:rPr>
                <w:bCs/>
                <w:lang w:val="en-US"/>
              </w:rPr>
              <w:t>st</w:t>
            </w:r>
            <w:proofErr w:type="spellEnd"/>
            <w:r w:rsidRPr="008F081F">
              <w:rPr>
                <w:bCs/>
              </w:rPr>
              <w:t>36.010)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rPr>
                <w:strike/>
              </w:rPr>
            </w:pPr>
            <w:r w:rsidRPr="008F081F"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jc w:val="center"/>
              <w:rPr>
                <w:strike/>
              </w:rPr>
            </w:pPr>
            <w:r w:rsidRPr="008F081F">
              <w:rPr>
                <w:b/>
                <w:bCs/>
              </w:rPr>
              <w:t> 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4758E0">
            <w:pPr>
              <w:jc w:val="center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58E0" w:rsidRPr="008F081F" w:rsidRDefault="004758E0" w:rsidP="00EE770D">
            <w:r w:rsidRPr="008F081F">
              <w:t>1-3дней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r w:rsidRPr="008F081F"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jc w:val="center"/>
            </w:pPr>
            <w:r w:rsidRPr="008F081F">
              <w:t>1.0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4758E0">
            <w:pPr>
              <w:jc w:val="center"/>
            </w:pP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58E0" w:rsidRPr="008F081F" w:rsidRDefault="004758E0" w:rsidP="00EE770D">
            <w:r w:rsidRPr="008F081F">
              <w:t>4-6дней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r w:rsidRPr="008F081F"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jc w:val="center"/>
            </w:pPr>
            <w:r w:rsidRPr="008F081F">
              <w:t>1.1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4758E0">
            <w:pPr>
              <w:jc w:val="center"/>
            </w:pP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58E0" w:rsidRPr="008F081F" w:rsidRDefault="004758E0" w:rsidP="00EE770D">
            <w:r w:rsidRPr="008F081F">
              <w:t>7-13дней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r w:rsidRPr="008F081F"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jc w:val="center"/>
            </w:pPr>
            <w:r w:rsidRPr="008F081F">
              <w:t>1.2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4758E0">
            <w:pPr>
              <w:jc w:val="center"/>
            </w:pP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tabs>
                <w:tab w:val="left" w:pos="0"/>
                <w:tab w:val="left" w:pos="56"/>
              </w:tabs>
            </w:pPr>
            <w:r w:rsidRPr="008F081F">
              <w:t>14-20 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jc w:val="center"/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E0" w:rsidRPr="008F081F" w:rsidRDefault="004758E0" w:rsidP="00EE770D">
            <w:pPr>
              <w:jc w:val="center"/>
            </w:pPr>
            <w:r w:rsidRPr="008F081F">
              <w:t>1.3</w:t>
            </w:r>
          </w:p>
        </w:tc>
      </w:tr>
      <w:tr w:rsidR="004758E0" w:rsidRPr="008F081F" w:rsidTr="00D208FF">
        <w:trPr>
          <w:trHeight w:val="337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4758E0">
            <w:pPr>
              <w:jc w:val="center"/>
            </w:pPr>
          </w:p>
          <w:p w:rsidR="004758E0" w:rsidRPr="008F081F" w:rsidRDefault="004758E0" w:rsidP="004758E0">
            <w:pPr>
              <w:jc w:val="center"/>
            </w:pP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8E0" w:rsidRPr="008F081F" w:rsidRDefault="004758E0" w:rsidP="00EE770D">
            <w:pPr>
              <w:rPr>
                <w:bCs/>
              </w:rPr>
            </w:pPr>
            <w:r w:rsidRPr="008F081F">
              <w:t>21 день и более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EE770D">
            <w:pPr>
              <w:jc w:val="center"/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EE770D">
            <w:pPr>
              <w:jc w:val="center"/>
              <w:rPr>
                <w:b/>
                <w:bCs/>
              </w:rPr>
            </w:pPr>
            <w:r w:rsidRPr="008F081F">
              <w:t>1.4</w:t>
            </w:r>
          </w:p>
        </w:tc>
      </w:tr>
      <w:tr w:rsidR="004758E0" w:rsidRPr="008F081F" w:rsidTr="00D208FF">
        <w:trPr>
          <w:trHeight w:val="6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4758E0">
            <w:pPr>
              <w:jc w:val="center"/>
            </w:pPr>
            <w:r>
              <w:t>8</w:t>
            </w:r>
          </w:p>
          <w:p w:rsidR="004758E0" w:rsidRPr="008F081F" w:rsidRDefault="004758E0" w:rsidP="004758E0">
            <w:pPr>
              <w:jc w:val="center"/>
            </w:pP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8E0" w:rsidRPr="008F081F" w:rsidRDefault="004758E0" w:rsidP="00EE770D">
            <w:r w:rsidRPr="008F081F">
              <w:t xml:space="preserve">Случаи </w:t>
            </w:r>
            <w:proofErr w:type="spellStart"/>
            <w:r w:rsidRPr="008F081F">
              <w:t>сверхдлительного</w:t>
            </w:r>
            <w:proofErr w:type="spellEnd"/>
            <w:r w:rsidRPr="008F081F">
              <w:t xml:space="preserve"> пребывания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EE770D"/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EE770D">
            <w:pPr>
              <w:jc w:val="center"/>
            </w:pPr>
            <w:r w:rsidRPr="008F081F">
              <w:t xml:space="preserve">в </w:t>
            </w:r>
            <w:proofErr w:type="gramStart"/>
            <w:r w:rsidRPr="008F081F">
              <w:t>соответствии</w:t>
            </w:r>
            <w:proofErr w:type="gramEnd"/>
            <w:r w:rsidRPr="008F081F">
              <w:t xml:space="preserve"> с расчетным значением</w:t>
            </w:r>
          </w:p>
        </w:tc>
      </w:tr>
      <w:tr w:rsidR="004758E0" w:rsidRPr="008F081F" w:rsidTr="00D208FF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4758E0">
            <w:pPr>
              <w:jc w:val="center"/>
            </w:pPr>
            <w:r>
              <w:t>9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758E0" w:rsidRPr="008F081F" w:rsidRDefault="004758E0" w:rsidP="00D46B42">
            <w:r w:rsidRPr="008F081F">
              <w:rPr>
                <w:rFonts w:eastAsia="Calibri"/>
              </w:rPr>
              <w:t>Лечение пациента при наличии у него старческой астении на геронтологической профильной койке (кроме КСГ № st38.001)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EE770D"/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E0" w:rsidRPr="008F081F" w:rsidRDefault="004758E0" w:rsidP="00EE770D">
            <w:pPr>
              <w:jc w:val="center"/>
            </w:pPr>
            <w:r w:rsidRPr="008F081F">
              <w:t>1.2</w:t>
            </w:r>
          </w:p>
        </w:tc>
      </w:tr>
    </w:tbl>
    <w:p w:rsidR="00D04F62" w:rsidRPr="008F081F" w:rsidRDefault="00D04F62" w:rsidP="00D04F62">
      <w:pPr>
        <w:tabs>
          <w:tab w:val="left" w:pos="993"/>
        </w:tabs>
        <w:ind w:left="426"/>
        <w:rPr>
          <w:sz w:val="24"/>
          <w:szCs w:val="24"/>
        </w:rPr>
      </w:pPr>
    </w:p>
    <w:p w:rsidR="00A26325" w:rsidRPr="003C65A5" w:rsidRDefault="00A26325" w:rsidP="00D04F62">
      <w:pPr>
        <w:tabs>
          <w:tab w:val="left" w:pos="993"/>
        </w:tabs>
        <w:ind w:left="426"/>
        <w:jc w:val="center"/>
        <w:rPr>
          <w:sz w:val="24"/>
          <w:szCs w:val="24"/>
        </w:rPr>
      </w:pPr>
      <w:r w:rsidRPr="003C65A5">
        <w:rPr>
          <w:sz w:val="24"/>
          <w:szCs w:val="24"/>
        </w:rPr>
        <w:t xml:space="preserve">5.4. Группы, к которым не применяется </w:t>
      </w:r>
      <w:proofErr w:type="spellStart"/>
      <w:r w:rsidRPr="003C65A5">
        <w:rPr>
          <w:sz w:val="24"/>
          <w:szCs w:val="24"/>
        </w:rPr>
        <w:t>КУСмо</w:t>
      </w:r>
      <w:proofErr w:type="spellEnd"/>
    </w:p>
    <w:p w:rsidR="00D04F62" w:rsidRPr="008F081F" w:rsidRDefault="00D04F62" w:rsidP="00D208FF">
      <w:pPr>
        <w:ind w:right="140" w:firstLine="851"/>
        <w:jc w:val="right"/>
        <w:rPr>
          <w:sz w:val="24"/>
          <w:szCs w:val="24"/>
        </w:rPr>
      </w:pPr>
      <w:r w:rsidRPr="008F081F">
        <w:rPr>
          <w:sz w:val="24"/>
          <w:szCs w:val="24"/>
        </w:rPr>
        <w:t xml:space="preserve"> Таблица 1</w:t>
      </w:r>
      <w:r w:rsidR="00F21B07" w:rsidRPr="008F081F">
        <w:rPr>
          <w:sz w:val="24"/>
          <w:szCs w:val="24"/>
        </w:rPr>
        <w:t>3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33"/>
        <w:gridCol w:w="8990"/>
      </w:tblGrid>
      <w:tr w:rsidR="00D04F62" w:rsidRPr="008F081F" w:rsidTr="000264B9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F62" w:rsidRPr="008F081F" w:rsidRDefault="00D04F62" w:rsidP="00EE770D">
            <w:pPr>
              <w:jc w:val="center"/>
              <w:rPr>
                <w:bCs/>
              </w:rPr>
            </w:pPr>
            <w:r w:rsidRPr="008F081F">
              <w:rPr>
                <w:bCs/>
              </w:rPr>
              <w:t>№ КСГ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F62" w:rsidRPr="008F081F" w:rsidRDefault="00D04F62" w:rsidP="00EE770D">
            <w:pPr>
              <w:jc w:val="center"/>
              <w:rPr>
                <w:bCs/>
              </w:rPr>
            </w:pPr>
            <w:r w:rsidRPr="008F081F">
              <w:rPr>
                <w:bCs/>
              </w:rPr>
              <w:t>Наименование КСГ</w:t>
            </w:r>
          </w:p>
        </w:tc>
      </w:tr>
      <w:tr w:rsidR="00D04F62" w:rsidRPr="008F081F" w:rsidTr="000264B9">
        <w:trPr>
          <w:trHeight w:val="22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F62" w:rsidRPr="008F081F" w:rsidRDefault="00E0228B" w:rsidP="00EE770D">
            <w:pPr>
              <w:jc w:val="center"/>
            </w:pPr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0264B9" w:rsidRPr="008F081F">
              <w:t>04.001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F62" w:rsidRPr="008F081F" w:rsidRDefault="00D04F62" w:rsidP="00EE770D">
            <w:r w:rsidRPr="008F081F">
              <w:t xml:space="preserve">Язва желудка и двенадцатиперстной кишки </w:t>
            </w:r>
          </w:p>
        </w:tc>
      </w:tr>
      <w:tr w:rsidR="000264B9" w:rsidRPr="008F081F" w:rsidTr="000264B9">
        <w:trPr>
          <w:trHeight w:val="1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0264B9">
            <w:proofErr w:type="spellStart"/>
            <w:r w:rsidRPr="008F081F">
              <w:rPr>
                <w:lang w:val="en-US"/>
              </w:rPr>
              <w:t>st</w:t>
            </w:r>
            <w:proofErr w:type="spellEnd"/>
            <w:r w:rsidR="000264B9" w:rsidRPr="008F081F">
              <w:t>06.003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Легкие дерматозы</w:t>
            </w:r>
            <w:r w:rsidR="00F908DB" w:rsidRPr="008F081F">
              <w:t xml:space="preserve">     </w:t>
            </w:r>
          </w:p>
        </w:tc>
      </w:tr>
      <w:tr w:rsidR="000264B9" w:rsidRPr="008F081F" w:rsidTr="000264B9">
        <w:trPr>
          <w:trHeight w:val="1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0264B9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0264B9" w:rsidRPr="008F081F">
              <w:t>15</w:t>
            </w:r>
            <w:r w:rsidR="000264B9" w:rsidRPr="008F081F">
              <w:rPr>
                <w:lang w:val="en-US"/>
              </w:rPr>
              <w:t>.008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Неврологические заболевания</w:t>
            </w:r>
            <w:proofErr w:type="gramStart"/>
            <w:r w:rsidRPr="008F081F">
              <w:t>.</w:t>
            </w:r>
            <w:proofErr w:type="gramEnd"/>
            <w:r w:rsidRPr="008F081F">
              <w:t xml:space="preserve"> </w:t>
            </w:r>
            <w:proofErr w:type="gramStart"/>
            <w:r w:rsidRPr="008F081F">
              <w:t>л</w:t>
            </w:r>
            <w:proofErr w:type="gramEnd"/>
            <w:r w:rsidRPr="008F081F">
              <w:t xml:space="preserve">ечение с применением </w:t>
            </w:r>
            <w:proofErr w:type="spellStart"/>
            <w:r w:rsidRPr="008F081F">
              <w:t>ботулотоксина</w:t>
            </w:r>
            <w:proofErr w:type="spellEnd"/>
            <w:r w:rsidRPr="008F081F">
              <w:t xml:space="preserve"> (уровень 1) </w:t>
            </w:r>
          </w:p>
        </w:tc>
      </w:tr>
      <w:tr w:rsidR="000264B9" w:rsidRPr="008F081F" w:rsidTr="000264B9">
        <w:trPr>
          <w:trHeight w:val="1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0264B9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0264B9" w:rsidRPr="008F081F">
              <w:t>15</w:t>
            </w:r>
            <w:r w:rsidR="000264B9" w:rsidRPr="008F081F">
              <w:rPr>
                <w:lang w:val="en-US"/>
              </w:rPr>
              <w:t>.00</w:t>
            </w:r>
            <w:r w:rsidR="000264B9" w:rsidRPr="008F081F">
              <w:t>9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B9" w:rsidRPr="008F081F" w:rsidRDefault="000264B9" w:rsidP="009D52F4">
            <w:r w:rsidRPr="008F081F">
              <w:t>Неврологические заболевания</w:t>
            </w:r>
            <w:proofErr w:type="gramStart"/>
            <w:r w:rsidRPr="008F081F">
              <w:t>.</w:t>
            </w:r>
            <w:proofErr w:type="gramEnd"/>
            <w:r w:rsidRPr="008F081F">
              <w:t xml:space="preserve"> </w:t>
            </w:r>
            <w:proofErr w:type="gramStart"/>
            <w:r w:rsidRPr="008F081F">
              <w:t>л</w:t>
            </w:r>
            <w:proofErr w:type="gramEnd"/>
            <w:r w:rsidRPr="008F081F">
              <w:t xml:space="preserve">ечение с применением </w:t>
            </w:r>
            <w:proofErr w:type="spellStart"/>
            <w:r w:rsidRPr="008F081F">
              <w:t>ботулотоксина</w:t>
            </w:r>
            <w:proofErr w:type="spellEnd"/>
            <w:r w:rsidRPr="008F081F">
              <w:t xml:space="preserve"> (уровень 2)</w:t>
            </w:r>
          </w:p>
        </w:tc>
      </w:tr>
      <w:tr w:rsidR="000264B9" w:rsidRPr="008F081F" w:rsidTr="000264B9">
        <w:trPr>
          <w:trHeight w:val="15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0264B9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0264B9" w:rsidRPr="008F081F">
              <w:t>16</w:t>
            </w:r>
            <w:r w:rsidR="000264B9" w:rsidRPr="008F081F">
              <w:rPr>
                <w:lang w:val="en-US"/>
              </w:rPr>
              <w:t>.00</w:t>
            </w:r>
            <w:r w:rsidR="000264B9" w:rsidRPr="008F081F">
              <w:t>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proofErr w:type="spellStart"/>
            <w:r w:rsidRPr="008F081F">
              <w:t>Дорсопатии</w:t>
            </w:r>
            <w:proofErr w:type="spellEnd"/>
            <w:r w:rsidRPr="008F081F">
              <w:t xml:space="preserve">, </w:t>
            </w:r>
            <w:proofErr w:type="spellStart"/>
            <w:r w:rsidRPr="008F081F">
              <w:t>спондилопатии</w:t>
            </w:r>
            <w:proofErr w:type="spellEnd"/>
            <w:r w:rsidRPr="008F081F">
              <w:t xml:space="preserve">, </w:t>
            </w:r>
            <w:proofErr w:type="spellStart"/>
            <w:r w:rsidRPr="008F081F">
              <w:t>остеопатии</w:t>
            </w:r>
            <w:proofErr w:type="spellEnd"/>
          </w:p>
        </w:tc>
      </w:tr>
      <w:tr w:rsidR="000264B9" w:rsidRPr="008F081F" w:rsidTr="000264B9">
        <w:trPr>
          <w:trHeight w:val="20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0264B9"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t20.010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Замена речевого процессора</w:t>
            </w:r>
          </w:p>
        </w:tc>
      </w:tr>
      <w:tr w:rsidR="000264B9" w:rsidRPr="008F081F" w:rsidTr="000264B9">
        <w:trPr>
          <w:trHeight w:val="24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0264B9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0264B9" w:rsidRPr="008F081F">
              <w:t>27</w:t>
            </w:r>
            <w:r w:rsidR="000264B9" w:rsidRPr="008F081F">
              <w:rPr>
                <w:lang w:val="en-US"/>
              </w:rPr>
              <w:t>.001</w:t>
            </w:r>
          </w:p>
        </w:tc>
        <w:tc>
          <w:tcPr>
            <w:tcW w:w="8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Болезни пищевода</w:t>
            </w:r>
            <w:proofErr w:type="gramStart"/>
            <w:r w:rsidRPr="008F081F">
              <w:t>.</w:t>
            </w:r>
            <w:proofErr w:type="gramEnd"/>
            <w:r w:rsidRPr="008F081F">
              <w:t xml:space="preserve"> </w:t>
            </w:r>
            <w:proofErr w:type="gramStart"/>
            <w:r w:rsidRPr="008F081F">
              <w:t>г</w:t>
            </w:r>
            <w:proofErr w:type="gramEnd"/>
            <w:r w:rsidRPr="008F081F">
              <w:t>астрит. дуоденит. другие болезни желудка и двенадцатиперстной кишки</w:t>
            </w:r>
          </w:p>
        </w:tc>
      </w:tr>
      <w:tr w:rsidR="000264B9" w:rsidRPr="008F081F" w:rsidTr="000264B9">
        <w:trPr>
          <w:trHeight w:val="1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0264B9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0264B9" w:rsidRPr="008F081F">
              <w:t>27</w:t>
            </w:r>
            <w:r w:rsidR="000264B9" w:rsidRPr="008F081F">
              <w:rPr>
                <w:lang w:val="en-US"/>
              </w:rPr>
              <w:t>.00</w:t>
            </w:r>
            <w:r w:rsidR="000264B9" w:rsidRPr="008F081F">
              <w:t>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Болезни желчного пузыря</w:t>
            </w:r>
          </w:p>
        </w:tc>
      </w:tr>
      <w:tr w:rsidR="000264B9" w:rsidRPr="008F081F" w:rsidTr="000264B9">
        <w:trPr>
          <w:trHeight w:val="2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0264B9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0264B9" w:rsidRPr="008F081F">
              <w:t>27</w:t>
            </w:r>
            <w:r w:rsidR="000264B9" w:rsidRPr="008F081F">
              <w:rPr>
                <w:lang w:val="en-US"/>
              </w:rPr>
              <w:t>.00</w:t>
            </w:r>
            <w:r w:rsidR="000264B9" w:rsidRPr="008F081F">
              <w:t>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Гипертоническая болезнь в стадии обострения</w:t>
            </w:r>
          </w:p>
        </w:tc>
      </w:tr>
      <w:tr w:rsidR="000264B9" w:rsidRPr="008F081F" w:rsidTr="000264B9">
        <w:trPr>
          <w:trHeight w:val="27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0264B9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0264B9" w:rsidRPr="008F081F">
              <w:t>27</w:t>
            </w:r>
            <w:r w:rsidR="000264B9" w:rsidRPr="008F081F">
              <w:rPr>
                <w:lang w:val="en-US"/>
              </w:rPr>
              <w:t>.00</w:t>
            </w:r>
            <w:r w:rsidR="000264B9" w:rsidRPr="008F081F">
              <w:t>6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 xml:space="preserve">Стенокардия (кроме </w:t>
            </w:r>
            <w:proofErr w:type="gramStart"/>
            <w:r w:rsidRPr="008F081F">
              <w:t>нестабильной</w:t>
            </w:r>
            <w:proofErr w:type="gramEnd"/>
            <w:r w:rsidRPr="008F081F">
              <w:t>),  хроническая ишемическая болезнь сердца,  уровень 1</w:t>
            </w:r>
          </w:p>
        </w:tc>
      </w:tr>
      <w:tr w:rsidR="000264B9" w:rsidRPr="008F081F" w:rsidTr="000264B9">
        <w:trPr>
          <w:trHeight w:val="22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27</w:t>
            </w:r>
            <w:r w:rsidR="000264B9" w:rsidRPr="008F081F">
              <w:rPr>
                <w:lang w:val="en-US"/>
              </w:rPr>
              <w:t>.0</w:t>
            </w:r>
            <w:r w:rsidR="00874167" w:rsidRPr="008F081F">
              <w:t>10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BD19B3">
            <w:r w:rsidRPr="008F081F">
              <w:t xml:space="preserve">Бронхит </w:t>
            </w:r>
            <w:proofErr w:type="spellStart"/>
            <w:r w:rsidRPr="008F081F">
              <w:t>необструктивный</w:t>
            </w:r>
            <w:proofErr w:type="spellEnd"/>
            <w:r w:rsidRPr="008F081F">
              <w:t>,  симптомы и признаки, относящиеся к органам дыхания</w:t>
            </w:r>
          </w:p>
        </w:tc>
      </w:tr>
      <w:tr w:rsidR="000264B9" w:rsidRPr="008F081F" w:rsidTr="00874167">
        <w:trPr>
          <w:trHeight w:val="18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30</w:t>
            </w:r>
            <w:r w:rsidR="000264B9" w:rsidRPr="008F081F">
              <w:rPr>
                <w:lang w:val="en-US"/>
              </w:rPr>
              <w:t>.00</w:t>
            </w:r>
            <w:r w:rsidR="00874167" w:rsidRPr="008F081F">
              <w:t>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Болезни предстательной железы</w:t>
            </w:r>
          </w:p>
        </w:tc>
      </w:tr>
      <w:tr w:rsidR="000264B9" w:rsidRPr="008F081F" w:rsidTr="000264B9">
        <w:trPr>
          <w:trHeight w:val="22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31</w:t>
            </w:r>
            <w:r w:rsidR="000264B9" w:rsidRPr="008F081F">
              <w:rPr>
                <w:lang w:val="en-US"/>
              </w:rPr>
              <w:t>.00</w:t>
            </w:r>
            <w:r w:rsidR="00874167" w:rsidRPr="008F081F">
              <w:t>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Операции на коже, подкожной клетчатке, придатках кожи (уровень 1)</w:t>
            </w:r>
          </w:p>
        </w:tc>
      </w:tr>
      <w:tr w:rsidR="000264B9" w:rsidRPr="008F081F" w:rsidTr="000264B9">
        <w:trPr>
          <w:trHeight w:val="12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31</w:t>
            </w:r>
            <w:r w:rsidR="000264B9" w:rsidRPr="008F081F">
              <w:rPr>
                <w:lang w:val="en-US"/>
              </w:rPr>
              <w:t>.0</w:t>
            </w:r>
            <w:r w:rsidR="00874167" w:rsidRPr="008F081F">
              <w:t>12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Артрозы, другие поражения суставов, болезни мягких тканей</w:t>
            </w:r>
          </w:p>
        </w:tc>
      </w:tr>
      <w:tr w:rsidR="000264B9" w:rsidRPr="008F081F" w:rsidTr="000264B9">
        <w:trPr>
          <w:trHeight w:val="17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31</w:t>
            </w:r>
            <w:r w:rsidR="000264B9" w:rsidRPr="008F081F">
              <w:rPr>
                <w:lang w:val="en-US"/>
              </w:rPr>
              <w:t>.0</w:t>
            </w:r>
            <w:r w:rsidR="00874167" w:rsidRPr="008F081F">
              <w:t>18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Открытые раны, поверхностные, другие и неуточненные травмы</w:t>
            </w:r>
          </w:p>
        </w:tc>
      </w:tr>
      <w:tr w:rsidR="000264B9" w:rsidRPr="008F081F" w:rsidTr="000264B9">
        <w:trPr>
          <w:trHeight w:val="21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32</w:t>
            </w:r>
            <w:r w:rsidR="000264B9" w:rsidRPr="008F081F">
              <w:rPr>
                <w:lang w:val="en-US"/>
              </w:rPr>
              <w:t>.0</w:t>
            </w:r>
            <w:r w:rsidR="00874167" w:rsidRPr="008F081F">
              <w:t>11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proofErr w:type="spellStart"/>
            <w:r w:rsidRPr="008F081F">
              <w:t>Аппендэктомия</w:t>
            </w:r>
            <w:proofErr w:type="spellEnd"/>
            <w:r w:rsidRPr="008F081F">
              <w:t>, уровень 1, взрослые</w:t>
            </w:r>
          </w:p>
        </w:tc>
      </w:tr>
      <w:tr w:rsidR="000264B9" w:rsidRPr="008F081F" w:rsidTr="000264B9">
        <w:trPr>
          <w:trHeight w:val="12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32</w:t>
            </w:r>
            <w:r w:rsidR="000264B9" w:rsidRPr="008F081F">
              <w:rPr>
                <w:lang w:val="en-US"/>
              </w:rPr>
              <w:t>.0</w:t>
            </w:r>
            <w:r w:rsidR="00874167" w:rsidRPr="008F081F">
              <w:t>12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proofErr w:type="spellStart"/>
            <w:r w:rsidRPr="008F081F">
              <w:t>Аппендэктомия</w:t>
            </w:r>
            <w:proofErr w:type="spellEnd"/>
            <w:r w:rsidRPr="008F081F">
              <w:t>, уровень 2, взрослые</w:t>
            </w:r>
          </w:p>
        </w:tc>
      </w:tr>
      <w:tr w:rsidR="000264B9" w:rsidRPr="008F081F" w:rsidTr="000264B9">
        <w:trPr>
          <w:trHeight w:val="16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32</w:t>
            </w:r>
            <w:r w:rsidR="000264B9" w:rsidRPr="008F081F">
              <w:rPr>
                <w:lang w:val="en-US"/>
              </w:rPr>
              <w:t>.0</w:t>
            </w:r>
            <w:r w:rsidR="00874167" w:rsidRPr="008F081F">
              <w:t>13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>Операции по поводу грыж, взрослые (уровень 1)</w:t>
            </w:r>
          </w:p>
        </w:tc>
      </w:tr>
      <w:tr w:rsidR="00874167" w:rsidRPr="008F081F" w:rsidTr="000264B9">
        <w:trPr>
          <w:trHeight w:val="201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167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874167" w:rsidRPr="008F081F">
              <w:rPr>
                <w:lang w:val="en-US"/>
              </w:rPr>
              <w:t>t</w:t>
            </w:r>
            <w:proofErr w:type="spellEnd"/>
            <w:r w:rsidR="00874167" w:rsidRPr="008F081F">
              <w:t>32</w:t>
            </w:r>
            <w:r w:rsidR="00874167" w:rsidRPr="008F081F">
              <w:rPr>
                <w:lang w:val="en-US"/>
              </w:rPr>
              <w:t>.0</w:t>
            </w:r>
            <w:r w:rsidR="00874167" w:rsidRPr="008F081F">
              <w:t>14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167" w:rsidRPr="008F081F" w:rsidRDefault="00874167" w:rsidP="00EE770D">
            <w:r w:rsidRPr="008F081F">
              <w:t>Операции по поводу грыж, взрослые (уровень 2)</w:t>
            </w:r>
          </w:p>
        </w:tc>
      </w:tr>
      <w:tr w:rsidR="00874167" w:rsidRPr="008F081F" w:rsidTr="000264B9">
        <w:trPr>
          <w:trHeight w:val="1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167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874167" w:rsidRPr="008F081F">
              <w:rPr>
                <w:lang w:val="en-US"/>
              </w:rPr>
              <w:t>t</w:t>
            </w:r>
            <w:proofErr w:type="spellEnd"/>
            <w:r w:rsidR="00874167" w:rsidRPr="008F081F">
              <w:t>32</w:t>
            </w:r>
            <w:r w:rsidR="00874167" w:rsidRPr="008F081F">
              <w:rPr>
                <w:lang w:val="en-US"/>
              </w:rPr>
              <w:t>.0</w:t>
            </w:r>
            <w:r w:rsidR="00874167" w:rsidRPr="008F081F">
              <w:t>15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167" w:rsidRPr="008F081F" w:rsidRDefault="00874167" w:rsidP="00EE770D">
            <w:r w:rsidRPr="008F081F">
              <w:t>Операции по поводу грыж, взрослые (уровень 3)</w:t>
            </w:r>
          </w:p>
        </w:tc>
      </w:tr>
      <w:tr w:rsidR="000264B9" w:rsidRPr="008F081F" w:rsidTr="000264B9">
        <w:trPr>
          <w:trHeight w:val="10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36</w:t>
            </w:r>
            <w:r w:rsidR="000264B9" w:rsidRPr="008F081F">
              <w:rPr>
                <w:lang w:val="en-US"/>
              </w:rPr>
              <w:t>.001</w:t>
            </w:r>
          </w:p>
        </w:tc>
        <w:tc>
          <w:tcPr>
            <w:tcW w:w="8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4B9" w:rsidRPr="008F081F" w:rsidRDefault="000264B9" w:rsidP="00EE770D">
            <w:r w:rsidRPr="008F081F">
              <w:t>Комплексное лечение заболеваний нервной системы с применением препаратов иммуноглобулина</w:t>
            </w:r>
          </w:p>
        </w:tc>
      </w:tr>
      <w:tr w:rsidR="000264B9" w:rsidRPr="008F081F" w:rsidTr="000264B9">
        <w:trPr>
          <w:trHeight w:val="29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36</w:t>
            </w:r>
            <w:r w:rsidR="000264B9" w:rsidRPr="008F081F">
              <w:rPr>
                <w:lang w:val="en-US"/>
              </w:rPr>
              <w:t>.00</w:t>
            </w:r>
            <w:r w:rsidR="00874167" w:rsidRPr="008F081F">
              <w:t>3</w:t>
            </w:r>
          </w:p>
        </w:tc>
        <w:tc>
          <w:tcPr>
            <w:tcW w:w="8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874167" w:rsidP="00EE770D">
            <w:r w:rsidRPr="008F081F"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0264B9" w:rsidRPr="008F081F" w:rsidTr="000264B9">
        <w:trPr>
          <w:trHeight w:val="25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4B9" w:rsidRPr="008F081F" w:rsidRDefault="00E0228B" w:rsidP="00874167">
            <w:proofErr w:type="spellStart"/>
            <w:r w:rsidRPr="008F081F">
              <w:rPr>
                <w:lang w:val="en-US"/>
              </w:rPr>
              <w:t>s</w:t>
            </w:r>
            <w:r w:rsidR="000264B9" w:rsidRPr="008F081F">
              <w:rPr>
                <w:lang w:val="en-US"/>
              </w:rPr>
              <w:t>t</w:t>
            </w:r>
            <w:proofErr w:type="spellEnd"/>
            <w:r w:rsidR="00874167" w:rsidRPr="008F081F">
              <w:t>36</w:t>
            </w:r>
            <w:r w:rsidR="000264B9" w:rsidRPr="008F081F">
              <w:rPr>
                <w:lang w:val="en-US"/>
              </w:rPr>
              <w:t>.00</w:t>
            </w:r>
            <w:r w:rsidR="00874167" w:rsidRPr="008F081F">
              <w:t>7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4B9" w:rsidRPr="008F081F" w:rsidRDefault="000264B9" w:rsidP="00EE770D">
            <w:r w:rsidRPr="008F081F">
              <w:t xml:space="preserve">Установка, замена, заправка помп для лекарственных препаратов </w:t>
            </w:r>
          </w:p>
        </w:tc>
      </w:tr>
    </w:tbl>
    <w:p w:rsidR="00FB23FE" w:rsidRPr="008F081F" w:rsidRDefault="00FB23FE" w:rsidP="00D04F62">
      <w:pPr>
        <w:rPr>
          <w:sz w:val="24"/>
          <w:szCs w:val="24"/>
        </w:rPr>
      </w:pPr>
    </w:p>
    <w:p w:rsidR="00A26325" w:rsidRPr="003C65A5" w:rsidRDefault="00A26325" w:rsidP="00D04F62">
      <w:pPr>
        <w:jc w:val="center"/>
        <w:rPr>
          <w:rFonts w:eastAsia="Calibri"/>
          <w:sz w:val="24"/>
          <w:szCs w:val="24"/>
        </w:rPr>
      </w:pPr>
      <w:r w:rsidRPr="003C65A5">
        <w:rPr>
          <w:rFonts w:eastAsia="Calibri"/>
          <w:sz w:val="24"/>
          <w:szCs w:val="24"/>
        </w:rPr>
        <w:t>5.5. Перечень КСГ, по которым оплата медицинской помощи осуществляется в полном объеме при длительности госпитализации 3 дня и менее</w:t>
      </w:r>
    </w:p>
    <w:p w:rsidR="00D46B42" w:rsidRPr="00A26325" w:rsidRDefault="00D46B42" w:rsidP="00D04F62">
      <w:pPr>
        <w:ind w:firstLine="720"/>
        <w:jc w:val="right"/>
        <w:rPr>
          <w:rFonts w:eastAsia="Calibri"/>
          <w:strike/>
          <w:sz w:val="24"/>
          <w:szCs w:val="24"/>
        </w:rPr>
      </w:pPr>
    </w:p>
    <w:p w:rsidR="00D04F62" w:rsidRPr="008F081F" w:rsidRDefault="00D04F62" w:rsidP="00D04F62">
      <w:pPr>
        <w:ind w:firstLine="720"/>
        <w:jc w:val="right"/>
        <w:rPr>
          <w:rFonts w:eastAsia="Calibri"/>
          <w:sz w:val="24"/>
          <w:szCs w:val="24"/>
        </w:rPr>
      </w:pPr>
      <w:r w:rsidRPr="008F081F">
        <w:rPr>
          <w:rFonts w:eastAsia="Calibri"/>
          <w:sz w:val="24"/>
          <w:szCs w:val="24"/>
        </w:rPr>
        <w:t xml:space="preserve">Таблица </w:t>
      </w:r>
      <w:r w:rsidR="00F21B07" w:rsidRPr="008F081F">
        <w:rPr>
          <w:rFonts w:eastAsia="Calibri"/>
          <w:sz w:val="24"/>
          <w:szCs w:val="24"/>
        </w:rPr>
        <w:t>14</w:t>
      </w:r>
    </w:p>
    <w:tbl>
      <w:tblPr>
        <w:tblpPr w:leftFromText="180" w:rightFromText="180" w:vertAnchor="text" w:horzAnchor="page" w:tblpX="1407" w:tblpY="14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0"/>
        <w:gridCol w:w="8989"/>
      </w:tblGrid>
      <w:tr w:rsidR="00F80E11" w:rsidRPr="008F081F" w:rsidTr="001E3DEC">
        <w:trPr>
          <w:cantSplit/>
          <w:trHeight w:val="286"/>
          <w:tblHeader/>
        </w:trPr>
        <w:tc>
          <w:tcPr>
            <w:tcW w:w="900" w:type="dxa"/>
            <w:shd w:val="clear" w:color="auto" w:fill="FFFFFF"/>
          </w:tcPr>
          <w:p w:rsidR="00D04F62" w:rsidRPr="008F081F" w:rsidRDefault="00D04F62" w:rsidP="00EE770D">
            <w:pPr>
              <w:jc w:val="center"/>
              <w:rPr>
                <w:rFonts w:eastAsia="Calibri"/>
              </w:rPr>
            </w:pPr>
            <w:r w:rsidRPr="008F081F">
              <w:rPr>
                <w:rFonts w:eastAsia="Calibri"/>
              </w:rPr>
              <w:t>№ КСГ</w:t>
            </w:r>
          </w:p>
        </w:tc>
        <w:tc>
          <w:tcPr>
            <w:tcW w:w="8989" w:type="dxa"/>
            <w:shd w:val="clear" w:color="auto" w:fill="FFFFFF"/>
          </w:tcPr>
          <w:p w:rsidR="00D04F62" w:rsidRPr="008F081F" w:rsidRDefault="00D04F62" w:rsidP="00EE770D">
            <w:pPr>
              <w:jc w:val="center"/>
              <w:rPr>
                <w:rFonts w:eastAsia="Calibri"/>
              </w:rPr>
            </w:pPr>
            <w:r w:rsidRPr="008F081F">
              <w:rPr>
                <w:rFonts w:eastAsia="Calibri"/>
              </w:rPr>
              <w:t xml:space="preserve">Наименование КСГ </w:t>
            </w:r>
          </w:p>
        </w:tc>
      </w:tr>
      <w:tr w:rsidR="00EC6DB8" w:rsidRPr="008F081F" w:rsidTr="001E3DEC">
        <w:trPr>
          <w:cantSplit/>
          <w:trHeight w:val="286"/>
          <w:tblHeader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st02.001</w:t>
            </w:r>
          </w:p>
        </w:tc>
        <w:tc>
          <w:tcPr>
            <w:tcW w:w="8989" w:type="dxa"/>
            <w:shd w:val="clear" w:color="auto" w:fill="FFFFFF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Осложнения, связанные с беременностью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st02.002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Беременность,  закончившаяся абортивным исходом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st02.003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proofErr w:type="spellStart"/>
            <w:r w:rsidRPr="008F081F">
              <w:rPr>
                <w:rFonts w:eastAsia="Calibri"/>
              </w:rPr>
              <w:t>Родоразрешение</w:t>
            </w:r>
            <w:proofErr w:type="spellEnd"/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st02.004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Кесарево сечение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st02.010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6D12ED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Операции на же</w:t>
            </w:r>
            <w:r w:rsidR="006D12ED" w:rsidRPr="008F081F">
              <w:rPr>
                <w:rFonts w:eastAsia="Calibri"/>
              </w:rPr>
              <w:t>нских половых органах (уровень 1)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st02.011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6D12ED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Операции на же</w:t>
            </w:r>
            <w:r w:rsidR="006D12ED" w:rsidRPr="008F081F">
              <w:rPr>
                <w:rFonts w:eastAsia="Calibri"/>
              </w:rPr>
              <w:t xml:space="preserve">нских половых органах (уровень </w:t>
            </w:r>
            <w:r w:rsidRPr="008F081F">
              <w:rPr>
                <w:rFonts w:eastAsia="Calibri"/>
              </w:rPr>
              <w:t>2)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st03.002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Ангионевротический отек, анафилактический шок</w:t>
            </w:r>
          </w:p>
        </w:tc>
      </w:tr>
      <w:tr w:rsidR="006540E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6540EE" w:rsidRPr="008F081F" w:rsidRDefault="006540E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st05.006</w:t>
            </w:r>
          </w:p>
        </w:tc>
        <w:tc>
          <w:tcPr>
            <w:tcW w:w="8989" w:type="dxa"/>
            <w:shd w:val="clear" w:color="auto" w:fill="FFFFFF"/>
          </w:tcPr>
          <w:p w:rsidR="006540EE" w:rsidRPr="008F081F" w:rsidRDefault="006540EE" w:rsidP="00DE1ACC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Лекарственная терапия при остром лейкозе, взрослые*</w:t>
            </w:r>
          </w:p>
        </w:tc>
      </w:tr>
      <w:tr w:rsidR="006540E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6540EE" w:rsidRPr="008F081F" w:rsidRDefault="006540E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st05.007</w:t>
            </w:r>
          </w:p>
        </w:tc>
        <w:tc>
          <w:tcPr>
            <w:tcW w:w="8989" w:type="dxa"/>
            <w:shd w:val="clear" w:color="auto" w:fill="FFFFFF"/>
          </w:tcPr>
          <w:p w:rsidR="006540EE" w:rsidRPr="008F081F" w:rsidRDefault="006540EE" w:rsidP="00DE1ACC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Лекарственная терапия при других злокачественных новообразованиях лимфоидной и кроветворной тканей, взрослые*</w:t>
            </w:r>
          </w:p>
        </w:tc>
      </w:tr>
      <w:tr w:rsidR="006540E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6540EE" w:rsidRPr="008F081F" w:rsidRDefault="006540E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st05.008</w:t>
            </w:r>
          </w:p>
        </w:tc>
        <w:tc>
          <w:tcPr>
            <w:tcW w:w="8989" w:type="dxa"/>
            <w:shd w:val="clear" w:color="auto" w:fill="FFFFFF"/>
          </w:tcPr>
          <w:p w:rsidR="006540EE" w:rsidRPr="008F081F" w:rsidRDefault="006540EE" w:rsidP="00DE1ACC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6540E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6540EE" w:rsidRPr="008F081F" w:rsidRDefault="006540E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st05.009</w:t>
            </w:r>
          </w:p>
        </w:tc>
        <w:tc>
          <w:tcPr>
            <w:tcW w:w="8989" w:type="dxa"/>
            <w:shd w:val="clear" w:color="auto" w:fill="FFFFFF"/>
          </w:tcPr>
          <w:p w:rsidR="006540EE" w:rsidRPr="008F081F" w:rsidRDefault="006540EE" w:rsidP="00DE1ACC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8F081F">
              <w:rPr>
                <w:rFonts w:eastAsia="Calibri"/>
              </w:rPr>
              <w:t>моноклональных</w:t>
            </w:r>
            <w:proofErr w:type="spellEnd"/>
            <w:r w:rsidRPr="008F081F">
              <w:rPr>
                <w:rFonts w:eastAsia="Calibri"/>
              </w:rPr>
              <w:t xml:space="preserve"> антител, ингибиторов </w:t>
            </w:r>
            <w:proofErr w:type="spellStart"/>
            <w:r w:rsidRPr="008F081F">
              <w:rPr>
                <w:rFonts w:eastAsia="Calibri"/>
              </w:rPr>
              <w:t>протеинкиназы</w:t>
            </w:r>
            <w:proofErr w:type="spellEnd"/>
            <w:r w:rsidRPr="008F081F">
              <w:rPr>
                <w:rFonts w:eastAsia="Calibri"/>
              </w:rPr>
              <w:t>*</w:t>
            </w:r>
          </w:p>
        </w:tc>
      </w:tr>
      <w:tr w:rsidR="006540E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6540EE" w:rsidRPr="008F081F" w:rsidRDefault="006540E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st05.010</w:t>
            </w:r>
          </w:p>
        </w:tc>
        <w:tc>
          <w:tcPr>
            <w:tcW w:w="8989" w:type="dxa"/>
            <w:shd w:val="clear" w:color="auto" w:fill="FFFFFF"/>
          </w:tcPr>
          <w:p w:rsidR="006540EE" w:rsidRPr="008F081F" w:rsidRDefault="006540EE" w:rsidP="00DE1ACC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Лекарственная терапия при остром лейкозе, дети*</w:t>
            </w:r>
          </w:p>
        </w:tc>
      </w:tr>
      <w:tr w:rsidR="006540E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6540EE" w:rsidRPr="008F081F" w:rsidRDefault="006540E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st05.011</w:t>
            </w:r>
          </w:p>
        </w:tc>
        <w:tc>
          <w:tcPr>
            <w:tcW w:w="8989" w:type="dxa"/>
            <w:shd w:val="clear" w:color="auto" w:fill="FFFFFF"/>
          </w:tcPr>
          <w:p w:rsidR="006540EE" w:rsidRPr="008F081F" w:rsidRDefault="006540EE" w:rsidP="00DE1ACC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st13.003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 xml:space="preserve">Инфаркт миокарда, легочная эмболия, лечение с применением </w:t>
            </w:r>
            <w:proofErr w:type="spellStart"/>
            <w:r w:rsidRPr="008F081F">
              <w:rPr>
                <w:rFonts w:eastAsia="Calibri"/>
              </w:rPr>
              <w:t>тромболитической</w:t>
            </w:r>
            <w:proofErr w:type="spellEnd"/>
            <w:r w:rsidRPr="008F081F">
              <w:rPr>
                <w:rFonts w:eastAsia="Calibri"/>
              </w:rPr>
              <w:t xml:space="preserve"> терапии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proofErr w:type="spellStart"/>
            <w:r w:rsidRPr="008F081F">
              <w:rPr>
                <w:lang w:val="en-US"/>
              </w:rPr>
              <w:t>st</w:t>
            </w:r>
            <w:proofErr w:type="spellEnd"/>
            <w:r w:rsidRPr="008F081F">
              <w:t>15</w:t>
            </w:r>
            <w:r w:rsidRPr="008F081F">
              <w:rPr>
                <w:lang w:val="en-US"/>
              </w:rPr>
              <w:t>.008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r w:rsidRPr="008F081F">
              <w:t xml:space="preserve">Неврологические заболевания, лечение с применением </w:t>
            </w:r>
            <w:proofErr w:type="spellStart"/>
            <w:r w:rsidRPr="008F081F">
              <w:t>ботулотоксина</w:t>
            </w:r>
            <w:proofErr w:type="spellEnd"/>
            <w:r w:rsidRPr="008F081F">
              <w:t xml:space="preserve"> (уровень 1)</w:t>
            </w:r>
            <w:r w:rsidR="006540EE" w:rsidRPr="008F081F">
              <w:t>*</w:t>
            </w:r>
          </w:p>
        </w:tc>
      </w:tr>
      <w:tr w:rsidR="00F80E11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proofErr w:type="spellStart"/>
            <w:r w:rsidRPr="008F081F">
              <w:rPr>
                <w:lang w:val="en-US"/>
              </w:rPr>
              <w:t>st</w:t>
            </w:r>
            <w:proofErr w:type="spellEnd"/>
            <w:r w:rsidRPr="008F081F">
              <w:t>15</w:t>
            </w:r>
            <w:r w:rsidRPr="008F081F">
              <w:rPr>
                <w:lang w:val="en-US"/>
              </w:rPr>
              <w:t>.009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r w:rsidRPr="008F081F">
              <w:t xml:space="preserve">Неврологические заболевания, лечение с применением </w:t>
            </w:r>
            <w:proofErr w:type="spellStart"/>
            <w:r w:rsidRPr="008F081F">
              <w:t>ботулотоксина</w:t>
            </w:r>
            <w:proofErr w:type="spellEnd"/>
            <w:r w:rsidRPr="008F081F">
              <w:t xml:space="preserve"> (уровень 2)</w:t>
            </w:r>
            <w:r w:rsidR="006540EE" w:rsidRPr="008F081F">
              <w:t>*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st16.005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Сотрясение головного мозга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st19.027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1)*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st19.028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2)*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st19.029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3)*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st19.030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4)*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st19.031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5)*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st19.032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6)*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st19.033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7)*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st19.034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8)*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st19.035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9)*</w:t>
            </w:r>
          </w:p>
        </w:tc>
      </w:tr>
      <w:tr w:rsidR="00842DAE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st19.036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 xml:space="preserve">Лекарственная терапия при злокачественных новообразованиях </w:t>
            </w:r>
          </w:p>
          <w:p w:rsidR="00842DAE" w:rsidRPr="008F081F" w:rsidRDefault="00842DAE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(кроме лимфоидной и кроветворной тканей), взрослые (уровень 10)*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1E3DEC" w:rsidP="00887BDE">
            <w:r w:rsidRPr="008F081F">
              <w:rPr>
                <w:lang w:val="en-US"/>
              </w:rPr>
              <w:t>st19.038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roofErr w:type="gramStart"/>
            <w:r w:rsidRPr="008F081F">
              <w:t>Установка, 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A0717D" w:rsidP="00887BDE"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r w:rsidRPr="008F081F">
              <w:rPr>
                <w:lang w:val="en-US"/>
              </w:rPr>
              <w:t>20</w:t>
            </w:r>
            <w:r w:rsidR="001E3DEC" w:rsidRPr="008F081F">
              <w:rPr>
                <w:lang w:val="en-US"/>
              </w:rPr>
              <w:t>.</w:t>
            </w:r>
            <w:r w:rsidRPr="008F081F">
              <w:rPr>
                <w:lang w:val="en-US"/>
              </w:rPr>
              <w:t>005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A0717D" w:rsidP="00887BDE">
            <w:r w:rsidRPr="008F081F">
              <w:rPr>
                <w:lang w:val="en-US"/>
              </w:rPr>
              <w:t>st20.006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A0717D" w:rsidP="00887BDE"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r w:rsidRPr="008F081F">
              <w:rPr>
                <w:lang w:val="en-US"/>
              </w:rPr>
              <w:t>20</w:t>
            </w:r>
            <w:r w:rsidR="001E3DEC" w:rsidRPr="008F081F">
              <w:rPr>
                <w:lang w:val="en-US"/>
              </w:rPr>
              <w:t>.0</w:t>
            </w:r>
            <w:r w:rsidRPr="008F081F">
              <w:rPr>
                <w:lang w:val="en-US"/>
              </w:rPr>
              <w:t>10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r w:rsidRPr="008F081F">
              <w:t>Замена речевого процессора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A0717D" w:rsidP="00887BDE"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r w:rsidRPr="008F081F">
              <w:rPr>
                <w:lang w:val="en-US"/>
              </w:rPr>
              <w:t>21</w:t>
            </w:r>
            <w:r w:rsidR="001E3DEC" w:rsidRPr="008F081F">
              <w:rPr>
                <w:lang w:val="en-US"/>
              </w:rPr>
              <w:t>.001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Операции на органе зрения (уровень 1)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A0717D" w:rsidP="00887BDE"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r w:rsidRPr="008F081F">
              <w:rPr>
                <w:lang w:val="en-US"/>
              </w:rPr>
              <w:t>21</w:t>
            </w:r>
            <w:r w:rsidR="001E3DEC" w:rsidRPr="008F081F">
              <w:rPr>
                <w:lang w:val="en-US"/>
              </w:rPr>
              <w:t>.00</w:t>
            </w:r>
            <w:r w:rsidRPr="008F081F">
              <w:rPr>
                <w:lang w:val="en-US"/>
              </w:rPr>
              <w:t>2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Операции на органе зрения (уровень 2)</w:t>
            </w:r>
          </w:p>
        </w:tc>
      </w:tr>
      <w:tr w:rsidR="002536B8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2536B8" w:rsidRPr="008F081F" w:rsidRDefault="002536B8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st21.003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2536B8" w:rsidRPr="008F081F" w:rsidRDefault="002536B8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Операции на органе зрения (уровень 3)</w:t>
            </w:r>
          </w:p>
        </w:tc>
      </w:tr>
      <w:tr w:rsidR="002536B8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2536B8" w:rsidRPr="008F081F" w:rsidRDefault="002536B8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st21.004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2536B8" w:rsidRPr="008F081F" w:rsidRDefault="002536B8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Операции на органе зрения (уровень 4)</w:t>
            </w:r>
          </w:p>
        </w:tc>
      </w:tr>
      <w:tr w:rsidR="002536B8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2536B8" w:rsidRPr="008F081F" w:rsidRDefault="002536B8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st21.005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2536B8" w:rsidRPr="008F081F" w:rsidRDefault="002536B8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Операции на органе зрения (уровень 5)</w:t>
            </w:r>
          </w:p>
        </w:tc>
      </w:tr>
      <w:tr w:rsidR="002536B8" w:rsidRPr="008F081F" w:rsidTr="00DE1ACC">
        <w:trPr>
          <w:cantSplit/>
          <w:trHeight w:val="286"/>
        </w:trPr>
        <w:tc>
          <w:tcPr>
            <w:tcW w:w="900" w:type="dxa"/>
            <w:shd w:val="clear" w:color="auto" w:fill="FFFFFF"/>
            <w:vAlign w:val="center"/>
          </w:tcPr>
          <w:p w:rsidR="002536B8" w:rsidRPr="008F081F" w:rsidRDefault="002536B8" w:rsidP="00DE1ACC">
            <w:pPr>
              <w:jc w:val="center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st21.006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2536B8" w:rsidRPr="008F081F" w:rsidRDefault="002536B8" w:rsidP="00DE1ACC">
            <w:pPr>
              <w:spacing w:line="216" w:lineRule="auto"/>
              <w:rPr>
                <w:rFonts w:eastAsia="Calibri"/>
                <w:szCs w:val="24"/>
              </w:rPr>
            </w:pPr>
            <w:r w:rsidRPr="008F081F">
              <w:rPr>
                <w:rFonts w:eastAsia="Calibri"/>
                <w:szCs w:val="24"/>
              </w:rPr>
              <w:t>Операции на органе зрения (уровень 6)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A0717D" w:rsidP="00887BDE"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r w:rsidRPr="008F081F">
              <w:rPr>
                <w:lang w:val="en-US"/>
              </w:rPr>
              <w:t>25</w:t>
            </w:r>
            <w:r w:rsidR="001E3DEC" w:rsidRPr="008F081F">
              <w:rPr>
                <w:lang w:val="en-US"/>
              </w:rPr>
              <w:t>.00</w:t>
            </w:r>
            <w:r w:rsidRPr="008F081F">
              <w:rPr>
                <w:lang w:val="en-US"/>
              </w:rPr>
              <w:t>4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 xml:space="preserve">Диагностическое обследование </w:t>
            </w:r>
            <w:proofErr w:type="gramStart"/>
            <w:r w:rsidRPr="008F081F">
              <w:rPr>
                <w:rFonts w:eastAsia="Calibri"/>
              </w:rPr>
              <w:t>сердечно-сосудистой</w:t>
            </w:r>
            <w:proofErr w:type="gramEnd"/>
            <w:r w:rsidRPr="008F081F">
              <w:rPr>
                <w:rFonts w:eastAsia="Calibri"/>
              </w:rPr>
              <w:t xml:space="preserve"> системы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A0717D" w:rsidP="00887BDE"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r w:rsidRPr="008F081F">
              <w:rPr>
                <w:lang w:val="en-US"/>
              </w:rPr>
              <w:t>27</w:t>
            </w:r>
            <w:r w:rsidR="001E3DEC" w:rsidRPr="008F081F">
              <w:rPr>
                <w:lang w:val="en-US"/>
              </w:rPr>
              <w:t>.0</w:t>
            </w:r>
            <w:r w:rsidRPr="008F081F">
              <w:rPr>
                <w:lang w:val="en-US"/>
              </w:rPr>
              <w:t>12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Отравления и другие воздействия внешних причин (уровень 1)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A0717D" w:rsidP="00887BDE">
            <w:proofErr w:type="spellStart"/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proofErr w:type="spellEnd"/>
            <w:r w:rsidRPr="008F081F">
              <w:t>31</w:t>
            </w:r>
            <w:r w:rsidR="001E3DEC" w:rsidRPr="008F081F">
              <w:rPr>
                <w:lang w:val="en-US"/>
              </w:rPr>
              <w:t>.0</w:t>
            </w:r>
            <w:r w:rsidRPr="008F081F">
              <w:t>17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 xml:space="preserve">Доброкачественные новообразования, новообразования </w:t>
            </w:r>
            <w:proofErr w:type="spellStart"/>
            <w:r w:rsidRPr="008F081F">
              <w:rPr>
                <w:rFonts w:eastAsia="Calibri"/>
              </w:rPr>
              <w:t>in</w:t>
            </w:r>
            <w:proofErr w:type="spellEnd"/>
            <w:r w:rsidRPr="008F081F">
              <w:rPr>
                <w:rFonts w:eastAsia="Calibri"/>
              </w:rPr>
              <w:t xml:space="preserve"> </w:t>
            </w:r>
            <w:proofErr w:type="spellStart"/>
            <w:r w:rsidRPr="008F081F">
              <w:rPr>
                <w:rFonts w:eastAsia="Calibri"/>
              </w:rPr>
              <w:t>situ</w:t>
            </w:r>
            <w:proofErr w:type="spellEnd"/>
            <w:r w:rsidRPr="008F081F">
              <w:rPr>
                <w:rFonts w:eastAsia="Calibri"/>
              </w:rPr>
              <w:t xml:space="preserve"> кожи, жировой ткани</w:t>
            </w:r>
            <w:r w:rsidR="00A0717D" w:rsidRPr="008F081F">
              <w:rPr>
                <w:rFonts w:eastAsia="Calibri"/>
              </w:rPr>
              <w:t xml:space="preserve"> и другие болезни кожи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EC6DB8" w:rsidP="00887BDE"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r w:rsidR="00A0717D" w:rsidRPr="008F081F">
              <w:rPr>
                <w:lang w:val="en-US"/>
              </w:rPr>
              <w:t>34</w:t>
            </w:r>
            <w:r w:rsidR="001E3DEC" w:rsidRPr="008F081F">
              <w:rPr>
                <w:lang w:val="en-US"/>
              </w:rPr>
              <w:t>.00</w:t>
            </w:r>
            <w:r w:rsidR="00A0717D" w:rsidRPr="008F081F">
              <w:rPr>
                <w:lang w:val="en-US"/>
              </w:rPr>
              <w:t>2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Операции на органах полости рта (уровень 1)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EC6DB8" w:rsidP="00887BDE"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r w:rsidRPr="008F081F">
              <w:rPr>
                <w:lang w:val="en-US"/>
              </w:rPr>
              <w:t>36</w:t>
            </w:r>
            <w:r w:rsidR="001E3DEC" w:rsidRPr="008F081F">
              <w:rPr>
                <w:lang w:val="en-US"/>
              </w:rPr>
              <w:t>.001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pPr>
              <w:rPr>
                <w:rFonts w:eastAsia="Calibri"/>
              </w:rPr>
            </w:pPr>
            <w:r w:rsidRPr="008F081F">
              <w:rPr>
                <w:rFonts w:eastAsia="Calibri"/>
              </w:rPr>
              <w:t>Комплексное лечение с применением препаратов иммуноглобулина</w:t>
            </w:r>
            <w:r w:rsidR="002536B8" w:rsidRPr="008F081F">
              <w:rPr>
                <w:rFonts w:eastAsia="Calibri"/>
              </w:rPr>
              <w:t>*</w:t>
            </w:r>
          </w:p>
        </w:tc>
      </w:tr>
      <w:tr w:rsidR="00F80E11" w:rsidRPr="008F081F" w:rsidTr="009D52F4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F80E11" w:rsidRPr="008F081F" w:rsidRDefault="00F80E11" w:rsidP="00887BDE">
            <w:proofErr w:type="spellStart"/>
            <w:r w:rsidRPr="008F081F">
              <w:rPr>
                <w:lang w:val="en-US"/>
              </w:rPr>
              <w:t>st</w:t>
            </w:r>
            <w:proofErr w:type="spellEnd"/>
            <w:r w:rsidRPr="008F081F">
              <w:t>36</w:t>
            </w:r>
            <w:r w:rsidRPr="008F081F">
              <w:rPr>
                <w:lang w:val="en-US"/>
              </w:rPr>
              <w:t>.00</w:t>
            </w:r>
            <w:r w:rsidRPr="008F081F">
              <w:t>3</w:t>
            </w:r>
          </w:p>
        </w:tc>
        <w:tc>
          <w:tcPr>
            <w:tcW w:w="8989" w:type="dxa"/>
            <w:shd w:val="clear" w:color="auto" w:fill="FFFFFF"/>
            <w:vAlign w:val="bottom"/>
          </w:tcPr>
          <w:p w:rsidR="00F80E11" w:rsidRPr="008F081F" w:rsidRDefault="00F80E11" w:rsidP="00887BDE">
            <w:r w:rsidRPr="008F081F">
              <w:t>Лечение с применением генно-инженерных биологических препаратов и селективных иммунодепрессантов</w:t>
            </w:r>
            <w:r w:rsidR="002536B8" w:rsidRPr="008F081F">
              <w:t>*</w:t>
            </w:r>
          </w:p>
        </w:tc>
      </w:tr>
      <w:tr w:rsidR="00A0717D" w:rsidRPr="008F081F" w:rsidTr="001E3DEC">
        <w:trPr>
          <w:cantSplit/>
          <w:trHeight w:val="286"/>
        </w:trPr>
        <w:tc>
          <w:tcPr>
            <w:tcW w:w="900" w:type="dxa"/>
            <w:shd w:val="clear" w:color="auto" w:fill="FFFFFF"/>
          </w:tcPr>
          <w:p w:rsidR="001E3DEC" w:rsidRPr="008F081F" w:rsidRDefault="00F80E11" w:rsidP="00887BDE">
            <w:r w:rsidRPr="008F081F">
              <w:rPr>
                <w:lang w:val="en-US"/>
              </w:rPr>
              <w:t>s</w:t>
            </w:r>
            <w:r w:rsidR="001E3DEC" w:rsidRPr="008F081F">
              <w:rPr>
                <w:lang w:val="en-US"/>
              </w:rPr>
              <w:t>t</w:t>
            </w:r>
            <w:r w:rsidRPr="008F081F">
              <w:rPr>
                <w:lang w:val="en-US"/>
              </w:rPr>
              <w:t>36</w:t>
            </w:r>
            <w:r w:rsidR="001E3DEC" w:rsidRPr="008F081F">
              <w:rPr>
                <w:lang w:val="en-US"/>
              </w:rPr>
              <w:t>.00</w:t>
            </w:r>
            <w:r w:rsidRPr="008F081F">
              <w:rPr>
                <w:lang w:val="en-US"/>
              </w:rPr>
              <w:t>7</w:t>
            </w:r>
          </w:p>
        </w:tc>
        <w:tc>
          <w:tcPr>
            <w:tcW w:w="8989" w:type="dxa"/>
            <w:shd w:val="clear" w:color="auto" w:fill="FFFFFF"/>
            <w:vAlign w:val="center"/>
          </w:tcPr>
          <w:p w:rsidR="001E3DEC" w:rsidRPr="008F081F" w:rsidRDefault="001E3DEC" w:rsidP="00887BDE">
            <w:r w:rsidRPr="008F081F">
              <w:t>Установка, замена, заправка помп для лекарственных препаратов</w:t>
            </w:r>
          </w:p>
        </w:tc>
      </w:tr>
    </w:tbl>
    <w:p w:rsidR="006540EE" w:rsidRPr="0068601A" w:rsidRDefault="006540EE" w:rsidP="006540EE">
      <w:pPr>
        <w:spacing w:after="160"/>
        <w:rPr>
          <w:rFonts w:eastAsia="Calibri"/>
        </w:rPr>
      </w:pPr>
      <w:r w:rsidRPr="008F081F">
        <w:rPr>
          <w:rFonts w:eastAsia="Calibri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Pr="0068601A">
        <w:rPr>
          <w:rFonts w:eastAsia="Calibri"/>
        </w:rPr>
        <w:t xml:space="preserve"> </w:t>
      </w:r>
    </w:p>
    <w:p w:rsidR="00EE770D" w:rsidRDefault="00EE770D" w:rsidP="00D04F62">
      <w:pPr>
        <w:ind w:firstLine="720"/>
      </w:pPr>
    </w:p>
    <w:sectPr w:rsidR="00EE770D" w:rsidSect="00EE770D">
      <w:pgSz w:w="11906" w:h="16838"/>
      <w:pgMar w:top="567" w:right="567" w:bottom="567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62"/>
    <w:rsid w:val="0000235B"/>
    <w:rsid w:val="000264B9"/>
    <w:rsid w:val="00060C38"/>
    <w:rsid w:val="00084AC3"/>
    <w:rsid w:val="00090DDF"/>
    <w:rsid w:val="0009434E"/>
    <w:rsid w:val="000D08FF"/>
    <w:rsid w:val="00112C1B"/>
    <w:rsid w:val="00116FCF"/>
    <w:rsid w:val="001729B5"/>
    <w:rsid w:val="0018483C"/>
    <w:rsid w:val="001A5D4F"/>
    <w:rsid w:val="001A5DD9"/>
    <w:rsid w:val="001E3DEC"/>
    <w:rsid w:val="002231A9"/>
    <w:rsid w:val="002536B8"/>
    <w:rsid w:val="002964FD"/>
    <w:rsid w:val="002A3969"/>
    <w:rsid w:val="002D255C"/>
    <w:rsid w:val="002E16A2"/>
    <w:rsid w:val="002F5A44"/>
    <w:rsid w:val="00306FFF"/>
    <w:rsid w:val="00314BAD"/>
    <w:rsid w:val="003758FE"/>
    <w:rsid w:val="003853F3"/>
    <w:rsid w:val="00391D1A"/>
    <w:rsid w:val="003B115D"/>
    <w:rsid w:val="003C65A5"/>
    <w:rsid w:val="00427E9E"/>
    <w:rsid w:val="0047288B"/>
    <w:rsid w:val="004758E0"/>
    <w:rsid w:val="004F6D1A"/>
    <w:rsid w:val="004F7F6A"/>
    <w:rsid w:val="00505A24"/>
    <w:rsid w:val="00583431"/>
    <w:rsid w:val="005A5995"/>
    <w:rsid w:val="005B3B28"/>
    <w:rsid w:val="005C0DEA"/>
    <w:rsid w:val="006200E7"/>
    <w:rsid w:val="006431F5"/>
    <w:rsid w:val="006540EE"/>
    <w:rsid w:val="00682393"/>
    <w:rsid w:val="00684DA9"/>
    <w:rsid w:val="00692A3F"/>
    <w:rsid w:val="006D12ED"/>
    <w:rsid w:val="006D25E8"/>
    <w:rsid w:val="007158E5"/>
    <w:rsid w:val="00716CAD"/>
    <w:rsid w:val="00762AF8"/>
    <w:rsid w:val="007A1315"/>
    <w:rsid w:val="007B7704"/>
    <w:rsid w:val="007C4AE9"/>
    <w:rsid w:val="00805DC3"/>
    <w:rsid w:val="00842DAE"/>
    <w:rsid w:val="00843118"/>
    <w:rsid w:val="008528BD"/>
    <w:rsid w:val="008537F5"/>
    <w:rsid w:val="00866A73"/>
    <w:rsid w:val="00874167"/>
    <w:rsid w:val="00887BDE"/>
    <w:rsid w:val="00890D4E"/>
    <w:rsid w:val="008B6E56"/>
    <w:rsid w:val="008D5791"/>
    <w:rsid w:val="008E433A"/>
    <w:rsid w:val="008E44FA"/>
    <w:rsid w:val="008F081F"/>
    <w:rsid w:val="008F435A"/>
    <w:rsid w:val="008F64D1"/>
    <w:rsid w:val="008F75B7"/>
    <w:rsid w:val="0090199A"/>
    <w:rsid w:val="00915128"/>
    <w:rsid w:val="00974039"/>
    <w:rsid w:val="009910F2"/>
    <w:rsid w:val="00992B59"/>
    <w:rsid w:val="009968BB"/>
    <w:rsid w:val="00996C20"/>
    <w:rsid w:val="009A6282"/>
    <w:rsid w:val="009A7F51"/>
    <w:rsid w:val="009B5E5F"/>
    <w:rsid w:val="009D52F4"/>
    <w:rsid w:val="00A0717D"/>
    <w:rsid w:val="00A17E0C"/>
    <w:rsid w:val="00A26325"/>
    <w:rsid w:val="00A6464C"/>
    <w:rsid w:val="00AA4F5B"/>
    <w:rsid w:val="00B0071C"/>
    <w:rsid w:val="00B12385"/>
    <w:rsid w:val="00B21793"/>
    <w:rsid w:val="00B30EB3"/>
    <w:rsid w:val="00B40E24"/>
    <w:rsid w:val="00B457BE"/>
    <w:rsid w:val="00B555D9"/>
    <w:rsid w:val="00B71AE8"/>
    <w:rsid w:val="00B862E8"/>
    <w:rsid w:val="00BC4498"/>
    <w:rsid w:val="00BD19B3"/>
    <w:rsid w:val="00C2309E"/>
    <w:rsid w:val="00C57623"/>
    <w:rsid w:val="00C77F83"/>
    <w:rsid w:val="00C81A0B"/>
    <w:rsid w:val="00C84324"/>
    <w:rsid w:val="00C96C48"/>
    <w:rsid w:val="00CB78E7"/>
    <w:rsid w:val="00CC7299"/>
    <w:rsid w:val="00D04F62"/>
    <w:rsid w:val="00D208FF"/>
    <w:rsid w:val="00D40E08"/>
    <w:rsid w:val="00D46B42"/>
    <w:rsid w:val="00D570C6"/>
    <w:rsid w:val="00D57F41"/>
    <w:rsid w:val="00D61DD3"/>
    <w:rsid w:val="00D77B90"/>
    <w:rsid w:val="00DA460B"/>
    <w:rsid w:val="00DB5A46"/>
    <w:rsid w:val="00DC619D"/>
    <w:rsid w:val="00DE1ACC"/>
    <w:rsid w:val="00E0228B"/>
    <w:rsid w:val="00E048FC"/>
    <w:rsid w:val="00E10B89"/>
    <w:rsid w:val="00E6495F"/>
    <w:rsid w:val="00E82967"/>
    <w:rsid w:val="00E942CE"/>
    <w:rsid w:val="00EB5B17"/>
    <w:rsid w:val="00EC45B6"/>
    <w:rsid w:val="00EC6DB8"/>
    <w:rsid w:val="00ED0E11"/>
    <w:rsid w:val="00EE770D"/>
    <w:rsid w:val="00EF2541"/>
    <w:rsid w:val="00F21B07"/>
    <w:rsid w:val="00F32D77"/>
    <w:rsid w:val="00F35B12"/>
    <w:rsid w:val="00F47956"/>
    <w:rsid w:val="00F54570"/>
    <w:rsid w:val="00F64CFE"/>
    <w:rsid w:val="00F80E11"/>
    <w:rsid w:val="00F908DB"/>
    <w:rsid w:val="00F927EE"/>
    <w:rsid w:val="00FB23FE"/>
    <w:rsid w:val="00FD1C53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04F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4F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4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3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C57623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576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04F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4F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4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3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C57623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C576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B53AC0A48CF193C2F23FBF0CFC504A38000E5E28E74F697z1n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278BD8F499BA18BFBF19BD5A03D814F271BEE6A5E662393U2m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31201B23750BC4EE05763C9278C1CFDA7DA025ED5817129193BDD2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F21A-6446-44B6-A9A3-34092DD9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Воронюк Вера Михайловна</cp:lastModifiedBy>
  <cp:revision>3</cp:revision>
  <cp:lastPrinted>2019-02-11T07:49:00Z</cp:lastPrinted>
  <dcterms:created xsi:type="dcterms:W3CDTF">2019-02-07T10:21:00Z</dcterms:created>
  <dcterms:modified xsi:type="dcterms:W3CDTF">2019-02-11T07:49:00Z</dcterms:modified>
</cp:coreProperties>
</file>